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ISTRAŽIVANJE UTJECAJA GEOGEBRE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NA POUČAVANJE EKSPONENCIJALNE FUNKCIJE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Uvod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34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Tijekom školske godine 2025./2026. provedeno je obrazovno istraživanje u dvije odgojno-obrazovne ustanove (Tehnička škola Virovitica i Elektrotehnička i prometna škola Osijek) s ciljem ispitivanja utjecaja primjene dinamičkog matematičkog softvera GeoGebra na razumijevanje i primjenu koncepta eksponencijalne funkcije. Istraživanje je bilo usmjereno na analizu didaktičke učinkovitosti interaktivnih digitalnih alata u nastavi matematike, s posebnim naglaskom na razvoj konceptualnog razumijevanja i sposobnosti primjene znanja.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Metodologija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34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 istraživanju su sudjelovali učenici trećih razreda zanimanja elektrotehničari i tehničari za računalstvo. Ukupno je sudjelovalo 86 učenika. Istraživanje su provodile prof. Vlatka Hižman-Tržić iz Tehničke škole Virovitica i prof. Snježana Bošnjak iz Elektrotehničke i prometne škole Osijek.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34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Svi sudionici istraživanja, kao i njihovi zakonski skrbnici, pravodobno su informirani o ciljevima, sadržaju i predviđenom trajanju istraživanja. Posebno je naglašeno da je sudjelovanje dobrovoljno te da sudionici imaju pravo povući se iz istraživanja u bilo kojem trenutku, bez ikakvih posljedica. Također je osigurana anonimnost sudionika, uz jasno istaknutu napomenu da će se prikupljeni podaci koristiti isključivo u svrhe znanstvene analize i istraživanja.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34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početku istraživanja učenici su, nakon provedene uobičajene nastavne obrade teme eksponencijalne funkcije, pristupili inicijalnom testiranju (predtestu) s ciljem utvrđivanja početne razine znanja i razumijevanja tog matematičkog koncepta. Nakon inicijalne provjere, tijekom jednog tjedna provodile su se aktivnosti uvježbavanja gradiva uz primjenu dinamičkog matematičkog alata GeoGebra, koji omogućuje interaktivnu vizualizaciju matematičkih objekata i odnosa. U sklopu zadataka učenici su aktivno istraživali svojstva eksponencijalnih funkcija manipulirajući parametrima funkcije te promatrajući njihov utjecaj na grafički prikaz u koordinatnom sustavu. Promjene parametara realizirane su korištenjem klizača unutar GeoGebre, čime je učenicima omogućeno neposredno uočavanje veza između algebarskog zapisa i grafičke reprezentacije funkcije. Po završetku intervencije svi su učenici pristupili završnom testiranju (posttestu), koncipiranom tako da bude usporedive težine i strukture kao inicijalni test.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34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Zadaci korišteni u istraživanju sustavno su razvrstani u nekoliko tipova s obzirom na razinu kognitivne zahtjevnosti te vrstu matematičkih aktivnosti koje zahtijevaju. Obuhvaćeni su zadaci reproduktivnog tipa, usmjereni na provjeru osnovnog razumijevanja definicija i svojstava eksponencijalne funkcije, zadaci primjene koji zahtijevaju korištenje usvojenih znanja u standardnim matematičkim situacijama, kao i zadaci višeg reda koji uključuju analizu, interpretaciju i povezivanje različitih reprezentacija funkcije.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 obzirom na format, zadaci su podijeljeni na: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zadatke očitavanja podataka</w:t>
      </w:r>
      <w:r w:rsidDel="00000000" w:rsidR="00000000" w:rsidRPr="00000000">
        <w:rPr>
          <w:rtl w:val="0"/>
        </w:rPr>
        <w:t xml:space="preserve"> iz </w:t>
      </w:r>
      <w:r w:rsidDel="00000000" w:rsidR="00000000" w:rsidRPr="00000000">
        <w:rPr>
          <w:color w:val="000000"/>
          <w:rtl w:val="0"/>
        </w:rPr>
        <w:t xml:space="preserve">grafičkog prikaza, u kojima </w:t>
      </w:r>
      <w:r w:rsidDel="00000000" w:rsidR="00000000" w:rsidRPr="00000000">
        <w:rPr>
          <w:color w:val="000000"/>
          <w:rtl w:val="0"/>
        </w:rPr>
        <w:t xml:space="preserve">učenici</w:t>
      </w:r>
      <w:r w:rsidDel="00000000" w:rsidR="00000000" w:rsidRPr="00000000">
        <w:rPr>
          <w:color w:val="000000"/>
          <w:rtl w:val="0"/>
        </w:rPr>
        <w:t xml:space="preserve"> interpretiraju numeričke i vizualne informacije zadane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grafovima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zadatke s ponuđenim odgovorima (zatvorenog tipa), namijenjene brzoj provjeri specifičnih koncepata i postupaka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zadatke otvorenog tipa, koji zahtijevaju samostalno formuliranje rješenja i argumentaciju postupka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zadatke crtanja grafova funkcija, u kojima učenici prikazuju graf eksponencijalne funkcije na temelju zadanih parametara ili opisa situacije.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Rezultati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" w:firstLine="0"/>
        <w:rPr/>
      </w:pPr>
      <w:r w:rsidDel="00000000" w:rsidR="00000000" w:rsidRPr="00000000">
        <w:rPr>
          <w:rtl w:val="0"/>
        </w:rPr>
        <w:t xml:space="preserve">U nastavku ćemo prikazati usporedne rezultate prije i nakon korištenja GeoGebre.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rtl w:val="0"/>
        </w:rPr>
        <w:t xml:space="preserve">Cjelokupni rezultati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rPr/>
      </w:pPr>
      <w:r w:rsidDel="00000000" w:rsidR="00000000" w:rsidRPr="00000000">
        <w:rPr>
          <w:color w:val="000000"/>
          <w:rtl w:val="0"/>
        </w:rPr>
        <w:t xml:space="preserve">Cjelokupni usporedni rezultati u rješavanju testa prije i nakon korištenja GeoGebre pokazuju da su učenici riješili predtest s 42%, a posttest s 58%.</w:t>
      </w:r>
      <w:r w:rsidDel="00000000" w:rsidR="00000000" w:rsidRPr="00000000">
        <w:rPr>
          <w:rtl w:val="0"/>
        </w:rPr>
        <w:t xml:space="preserve"> Rezultati pokazuju napredak učenika između predtesta i posttesta.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Ovakav porast upućuje na to da je provedena aktivnost ili intervencija bila učinkovita, jer su učenici nakon nje pokazali višu razinu razumijevanja i usvojenosti gradiva. Također, početni rezultat sugerira da je postojalo dovoljno prostora za napredak, koji je očito iskorišten.</w:t>
      </w:r>
    </w:p>
    <w:p w:rsidR="00000000" w:rsidDel="00000000" w:rsidP="00000000" w:rsidRDefault="00000000" w:rsidRPr="00000000" w14:paraId="0000001A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Brkata kutija prikazuje distribuciju ostvarenih bodova na ispitu predtesta (slika1.) i posttesta (slika2.). Ukupan mogući broj bodova na ispitu iznosio je 19. </w:t>
      </w:r>
    </w:p>
    <w:p w:rsidR="00000000" w:rsidDel="00000000" w:rsidP="00000000" w:rsidRDefault="00000000" w:rsidRPr="00000000" w14:paraId="0000001B">
      <w:pPr>
        <w:ind w:left="851" w:firstLine="0"/>
        <w:jc w:val="center"/>
        <w:rPr>
          <w:color w:val="ff0000"/>
        </w:rPr>
      </w:pPr>
      <w:r w:rsidDel="00000000" w:rsidR="00000000" w:rsidRPr="00000000">
        <w:rPr>
          <w:color w:val="ff0000"/>
        </w:rPr>
        <w:drawing>
          <wp:inline distB="0" distT="0" distL="0" distR="0">
            <wp:extent cx="3609663" cy="2285864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9663" cy="2285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slika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51" w:firstLine="0"/>
        <w:jc w:val="center"/>
        <w:rPr/>
      </w:pPr>
      <w:r w:rsidDel="00000000" w:rsidR="00000000" w:rsidRPr="00000000">
        <w:rPr>
          <w:color w:val="ff0000"/>
        </w:rPr>
        <w:drawing>
          <wp:inline distB="0" distT="0" distL="0" distR="0">
            <wp:extent cx="3733179" cy="2532404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2532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slika 2.</w:t>
      </w:r>
    </w:p>
    <w:p w:rsidR="00000000" w:rsidDel="00000000" w:rsidP="00000000" w:rsidRDefault="00000000" w:rsidRPr="00000000" w14:paraId="0000001D">
      <w:pPr>
        <w:ind w:firstLine="565"/>
        <w:rPr/>
      </w:pPr>
      <w:r w:rsidDel="00000000" w:rsidR="00000000" w:rsidRPr="00000000">
        <w:rPr>
          <w:rtl w:val="0"/>
        </w:rPr>
        <w:t xml:space="preserve">Usporedba brkatih kutija pokazuje jasan pomak rezultata prema višim vrijednostima na </w:t>
      </w:r>
      <w:r w:rsidDel="00000000" w:rsidR="00000000" w:rsidRPr="00000000">
        <w:rPr>
          <w:rtl w:val="0"/>
        </w:rPr>
        <w:t xml:space="preserve">posttestu</w:t>
      </w:r>
      <w:r w:rsidDel="00000000" w:rsidR="00000000" w:rsidRPr="00000000">
        <w:rPr>
          <w:rtl w:val="0"/>
        </w:rPr>
        <w:t xml:space="preserve">. Medijan je porastao s 8 na 13, a prvi i treći kvartil također su viši nego na predtestu, što znači da je većina učenika ostvarila bolje rezultate nakon provedenog rada.</w:t>
      </w:r>
    </w:p>
    <w:p w:rsidR="00000000" w:rsidDel="00000000" w:rsidP="00000000" w:rsidRDefault="00000000" w:rsidRPr="00000000" w14:paraId="0000001E">
      <w:pPr>
        <w:ind w:firstLine="229"/>
        <w:rPr/>
      </w:pPr>
      <w:r w:rsidDel="00000000" w:rsidR="00000000" w:rsidRPr="00000000">
        <w:rPr>
          <w:rtl w:val="0"/>
        </w:rPr>
        <w:t xml:space="preserve">Istodobno, raspon ostvarenih bodova se smanjio pa su rezultati postali nešto ujednačeniji. Može se zaključiti da je posttest ne samo bolji po središnjoj vrijednosti, nego i stabilniji u raspodjeli postignuća.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Usporedni rezultati predtesta i posttesta po tipovima zadataka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360"/>
        <w:jc w:val="center"/>
        <w:rPr/>
      </w:pPr>
      <w:r w:rsidDel="00000000" w:rsidR="00000000" w:rsidRPr="00000000">
        <w:rPr>
          <w:color w:val="000000"/>
          <w:rtl w:val="0"/>
        </w:rPr>
        <w:t xml:space="preserve">Zadaci očitavanja podataka iz grafičkog prikaza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3962574" cy="2380839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574" cy="23808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Rezultati pokazuju poboljšanje u rješavanju zadataka očitavanja podataka iz grafičkog prikaza. Iako je napredak vidljiv, konačni rezultat i dalje pokazuje da učenicima ovaj tip zadataka predstavlja određenu teškoću. To upućuje na potrebu za dodatnim vježbanjem i sustavnijim razvijanjem vještine čitanja i tumačenja grafičkih prikaza.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778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360"/>
        <w:jc w:val="center"/>
        <w:rPr/>
      </w:pPr>
      <w:r w:rsidDel="00000000" w:rsidR="00000000" w:rsidRPr="00000000">
        <w:rPr>
          <w:color w:val="000000"/>
          <w:rtl w:val="0"/>
        </w:rPr>
        <w:t xml:space="preserve">Zadaci s ponuđenim odgovorima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995059" cy="240035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5059" cy="2400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ab/>
        <w:t xml:space="preserve">Rezultati pokazuju umjeren napredak u zadacima s ponuđenim odgovorima. Iako je poboljšanje manje izraženo nego u nekim drugim skupinama zadataka, vidljiv je pozitivan pomak u </w:t>
      </w:r>
      <w:r w:rsidDel="00000000" w:rsidR="00000000" w:rsidRPr="00000000">
        <w:rPr>
          <w:rtl w:val="0"/>
        </w:rPr>
        <w:t xml:space="preserve">posttestu</w:t>
      </w:r>
      <w:r w:rsidDel="00000000" w:rsidR="00000000" w:rsidRPr="00000000">
        <w:rPr>
          <w:rtl w:val="0"/>
        </w:rPr>
        <w:t xml:space="preserve">. To može značiti da učenicima ovaj oblik zadataka djelomično olakšava rješavanje, ali da još uvijek postoji prostor za dodatno uvježbavanje.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360"/>
        <w:jc w:val="center"/>
        <w:rPr/>
      </w:pPr>
      <w:r w:rsidDel="00000000" w:rsidR="00000000" w:rsidRPr="00000000">
        <w:rPr>
          <w:color w:val="000000"/>
          <w:rtl w:val="0"/>
        </w:rPr>
        <w:t xml:space="preserve">Zadaci otvorenog tipa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836625" cy="230516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6625" cy="23051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Rezultati pokazuju vrlo izražen napredak na zadacima otvorenog tipa. Takav porast upućuje na to da su učenici nakon provedene aktivnosti znatno bolje savladali sadržaj i da se povećala njihova sposobnost samostalnog rješavanja zadataka. Ipak, budući da je posttest i dalje ispod 60%, vidi se da zadaci otvorenog tipa ostaju zahtjevniji te da je za njihovu potpunu usvojenost potrebno dodatno vježbanje.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360"/>
        <w:jc w:val="center"/>
        <w:rPr/>
      </w:pPr>
      <w:r w:rsidDel="00000000" w:rsidR="00000000" w:rsidRPr="00000000">
        <w:rPr>
          <w:color w:val="000000"/>
          <w:rtl w:val="0"/>
        </w:rPr>
        <w:t xml:space="preserve">Zadaci crtanja grafova funkcija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778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3615259" cy="2172162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5259" cy="2172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8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Rezultati pokazuju snažan napredak u zadacima crtanja grafova funkcija. To upućuje na to da su učenici nakon rada ostvarili znatno bolje razumijevanje postupka crtanja grafova i uspješnije povezivanje funkcije s njezinim prikazom. Posebno je važno što je posttest dosegnuo više od tri četvrtine točnih rješenja, što pokazuje vrlo dobar učinak u ovom području.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Rasprava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360"/>
        <w:jc w:val="both"/>
        <w:rPr/>
      </w:pPr>
      <w:r w:rsidDel="00000000" w:rsidR="00000000" w:rsidRPr="00000000">
        <w:rPr>
          <w:rtl w:val="0"/>
        </w:rPr>
        <w:t xml:space="preserve">Dobiveni rezultati upućuju na općenito </w:t>
      </w:r>
      <w:r w:rsidDel="00000000" w:rsidR="00000000" w:rsidRPr="00000000">
        <w:rPr>
          <w:b w:val="1"/>
          <w:bCs w:val="1"/>
          <w:rtl w:val="0"/>
        </w:rPr>
        <w:t xml:space="preserve">pozitivan pomak</w:t>
      </w:r>
      <w:r w:rsidDel="00000000" w:rsidR="00000000" w:rsidRPr="00000000">
        <w:rPr>
          <w:rtl w:val="0"/>
        </w:rPr>
        <w:t xml:space="preserve"> između </w:t>
      </w:r>
      <w:r w:rsidDel="00000000" w:rsidR="00000000" w:rsidRPr="00000000">
        <w:rPr>
          <w:rtl w:val="0"/>
        </w:rPr>
        <w:t xml:space="preserve">predtesta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rtl w:val="0"/>
        </w:rPr>
        <w:t xml:space="preserve">posttesta</w:t>
      </w:r>
      <w:r w:rsidDel="00000000" w:rsidR="00000000" w:rsidRPr="00000000">
        <w:rPr>
          <w:rtl w:val="0"/>
        </w:rPr>
        <w:t xml:space="preserve"> u svim ispitivanim područjima. Najveći napredak vidljiv je kod zadataka otvorenog tipa i crtanja grafova funkcija, dok su zadaci očitavanja podataka iz grafičkog prikaza i zadaci s ponuđenim odgovorima također pokazali porast, ali nešto umjereniji.</w:t>
      </w:r>
    </w:p>
    <w:p w:rsidR="00000000" w:rsidDel="00000000" w:rsidP="00000000" w:rsidRDefault="00000000" w:rsidRPr="00000000" w14:paraId="00000032">
      <w:pPr>
        <w:ind w:firstLine="360"/>
        <w:jc w:val="both"/>
        <w:rPr/>
      </w:pPr>
      <w:r w:rsidDel="00000000" w:rsidR="00000000" w:rsidRPr="00000000">
        <w:rPr>
          <w:rtl w:val="0"/>
        </w:rPr>
        <w:t xml:space="preserve">U zadacima očitavanja podataka iz grafičkog prikaza postignut je porast s 41,57% na 53,49%, što pokazuje da su učenici nakon rada uspješnije čitali i tumačili prikazane podatke. Kod zadataka s ponuđenim odgovorima rezultat je porastao s 50,58% na 57,56%, što upućuje na lagan, ali stabilan napredak. Zadaci otvorenog tipa pokazali su snažan rast, s 33,72% na 58,91%, što govori da su učenici znatno bolje usvojili postupke samostalnog rješavanja. Najizraženiji napredak ostvaren je kod zadataka crtanja grafova funkcija, gdje je uspješnost porasla s 52,62% na 76,02%, što ukazuje na vrlo dobar učinak provedenog rada.</w:t>
      </w:r>
    </w:p>
    <w:p w:rsidR="00000000" w:rsidDel="00000000" w:rsidP="00000000" w:rsidRDefault="00000000" w:rsidRPr="00000000" w14:paraId="00000033">
      <w:pPr>
        <w:ind w:firstLine="360"/>
        <w:jc w:val="both"/>
        <w:rPr/>
      </w:pPr>
      <w:r w:rsidDel="00000000" w:rsidR="00000000" w:rsidRPr="00000000">
        <w:rPr>
          <w:rtl w:val="0"/>
        </w:rPr>
        <w:t xml:space="preserve">Može se zaključiti da je provedena aktivnost imala </w:t>
      </w:r>
      <w:r w:rsidDel="00000000" w:rsidR="00000000" w:rsidRPr="00000000">
        <w:rPr>
          <w:b w:val="1"/>
          <w:bCs w:val="1"/>
          <w:rtl w:val="0"/>
        </w:rPr>
        <w:t xml:space="preserve">pozitivan utjecaj na usvajanje sadržaja</w:t>
      </w:r>
      <w:r w:rsidDel="00000000" w:rsidR="00000000" w:rsidRPr="00000000">
        <w:rPr>
          <w:rtl w:val="0"/>
        </w:rPr>
        <w:t xml:space="preserve">, ali i da su pojedine vještine i dalje zahtjevnije od drugih. Posebno su osjetljivi zadaci koji traže samostalno zaključivanje i interpretaciju podataka, dok su zadaci s ponuđenim odgovorima učenicima nešto pristupačniji. To znači da bi u daljnjem radu trebalo više naglaska staviti na postupno uvježbavanje interpretacije grafova, samostalno formuliranje rješenja i povezivanje vizualnog prikaza s matematičkim sadržajem.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Zaključak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360"/>
        <w:jc w:val="both"/>
        <w:rPr/>
      </w:pPr>
      <w:r w:rsidDel="00000000" w:rsidR="00000000" w:rsidRPr="00000000">
        <w:rPr>
          <w:rtl w:val="0"/>
        </w:rPr>
        <w:t xml:space="preserve">Zaključno, dobiveni rezultati pokazuju da je provedeni rad imao pozitivan učinak na učenike, ali i da je za daljnji napredak potrebno nastaviti s postupnim i sustavnim uvježbavanjem. Posebnu pozornost treba usmjeriti na zadatke koji zahtijevaju samostalno zaključivanje, interpretaciju grafičkih prikaza i precizno povezivanje različitih oblika matematičkog prikaza. Važno je učenicima pružati dovoljno vođenih primjera, a zatim ih postupno osamostaljivati kroz raznovrsne zadatke koji povezuju očitavanje, crtanje i tumačenje grafova. Na taj način može se dodatno ojačati razumijevanje sadržaja i postići još bolji uspjeh u budućem radu.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cs="Aptos" w:eastAsia="Aptos" w:hAnsi="Aptos"/>
      </w:rPr>
    </w:lvl>
    <w:lvl w:ilvl="3">
      <w:start w:val="1"/>
      <w:numFmt w:val="upperLetter"/>
      <w:lvlText w:val="%4."/>
      <w:lvlJc w:val="left"/>
      <w:pPr>
        <w:ind w:left="1778" w:hanging="360"/>
      </w:pPr>
      <w:rPr/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2"/>
      <w:numFmt w:val="upperLetter"/>
      <w:lvlText w:val="%1."/>
      <w:lvlJc w:val="left"/>
      <w:pPr>
        <w:ind w:left="1778" w:hanging="360"/>
      </w:pPr>
      <w:rPr/>
    </w:lvl>
    <w:lvl w:ilvl="1">
      <w:start w:val="1"/>
      <w:numFmt w:val="lowerLetter"/>
      <w:lvlText w:val="%2."/>
      <w:lvlJc w:val="left"/>
      <w:pPr>
        <w:ind w:left="2498" w:hanging="360"/>
      </w:pPr>
      <w:rPr/>
    </w:lvl>
    <w:lvl w:ilvl="2">
      <w:start w:val="1"/>
      <w:numFmt w:val="lowerRoman"/>
      <w:lvlText w:val="%3."/>
      <w:lvlJc w:val="right"/>
      <w:pPr>
        <w:ind w:left="3218" w:hanging="180"/>
      </w:pPr>
      <w:rPr/>
    </w:lvl>
    <w:lvl w:ilvl="3">
      <w:start w:val="1"/>
      <w:numFmt w:val="decimal"/>
      <w:lvlText w:val="%4."/>
      <w:lvlJc w:val="left"/>
      <w:pPr>
        <w:ind w:left="3938" w:hanging="360"/>
      </w:pPr>
      <w:rPr/>
    </w:lvl>
    <w:lvl w:ilvl="4">
      <w:start w:val="1"/>
      <w:numFmt w:val="lowerLetter"/>
      <w:lvlText w:val="%5."/>
      <w:lvlJc w:val="left"/>
      <w:pPr>
        <w:ind w:left="4658" w:hanging="360"/>
      </w:pPr>
      <w:rPr/>
    </w:lvl>
    <w:lvl w:ilvl="5">
      <w:start w:val="1"/>
      <w:numFmt w:val="lowerRoman"/>
      <w:lvlText w:val="%6."/>
      <w:lvlJc w:val="right"/>
      <w:pPr>
        <w:ind w:left="5378" w:hanging="180"/>
      </w:pPr>
      <w:rPr/>
    </w:lvl>
    <w:lvl w:ilvl="6">
      <w:start w:val="1"/>
      <w:numFmt w:val="decimal"/>
      <w:lvlText w:val="%7."/>
      <w:lvlJc w:val="left"/>
      <w:pPr>
        <w:ind w:left="6098" w:hanging="360"/>
      </w:pPr>
      <w:rPr/>
    </w:lvl>
    <w:lvl w:ilvl="7">
      <w:start w:val="1"/>
      <w:numFmt w:val="lowerLetter"/>
      <w:lvlText w:val="%8."/>
      <w:lvlJc w:val="left"/>
      <w:pPr>
        <w:ind w:left="6818" w:hanging="360"/>
      </w:pPr>
      <w:rPr/>
    </w:lvl>
    <w:lvl w:ilvl="8">
      <w:start w:val="1"/>
      <w:numFmt w:val="lowerRoman"/>
      <w:lvlText w:val="%9."/>
      <w:lvlJc w:val="right"/>
      <w:pPr>
        <w:ind w:left="753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2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VWnjVPmUEXairEh7CN4IPjvKg==">CgMxLjA4AHIhMWRCYWs3SXY1cTB6TFF5S0o0OXN5QTdEUjFmQXdoU3N4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