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6C16C" w14:textId="7D62A6AC" w:rsidR="00C570C4" w:rsidRPr="00C570C4" w:rsidRDefault="00C570C4" w:rsidP="00C570C4">
      <w:pPr>
        <w:rPr>
          <w:rFonts w:cs="Times New Roman"/>
          <w:lang w:val="hr-HR"/>
        </w:rPr>
      </w:pPr>
      <w:r w:rsidRPr="00C570C4">
        <w:rPr>
          <w:rFonts w:eastAsia="Times New Roman" w:cs="Times New Roman"/>
          <w:szCs w:val="24"/>
          <w:lang w:val="hr-HR" w:eastAsia="hr-HR"/>
        </w:rPr>
        <w:object w:dxaOrig="4290" w:dyaOrig="1515" w14:anchorId="343C0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75.75pt" o:ole="">
            <v:imagedata r:id="rId5" o:title=""/>
          </v:shape>
          <o:OLEObject Type="Embed" ProgID="MSPhotoEd.3" ShapeID="_x0000_i1025" DrawAspect="Content" ObjectID="_1736671185" r:id="rId6"/>
        </w:object>
      </w:r>
    </w:p>
    <w:p w14:paraId="399E20BD" w14:textId="4EF82977" w:rsidR="00C570C4" w:rsidRPr="00C570C4" w:rsidRDefault="00C570C4" w:rsidP="00C570C4">
      <w:pPr>
        <w:rPr>
          <w:rFonts w:cs="Times New Roman"/>
          <w:b/>
          <w:bCs/>
          <w:szCs w:val="24"/>
          <w:lang w:val="hr-HR"/>
        </w:rPr>
      </w:pPr>
      <w:r w:rsidRPr="00C570C4">
        <w:rPr>
          <w:rFonts w:cs="Times New Roman"/>
          <w:b/>
          <w:bCs/>
          <w:szCs w:val="24"/>
          <w:lang w:val="hr-HR"/>
        </w:rPr>
        <w:t>Tehnička škola Virovitica</w:t>
      </w:r>
    </w:p>
    <w:p w14:paraId="215B9040" w14:textId="77777777" w:rsidR="00C570C4" w:rsidRPr="00C570C4" w:rsidRDefault="00C570C4" w:rsidP="00C570C4">
      <w:pPr>
        <w:rPr>
          <w:rFonts w:cs="Times New Roman"/>
          <w:b/>
          <w:bCs/>
          <w:szCs w:val="24"/>
          <w:lang w:val="hr-HR"/>
        </w:rPr>
      </w:pPr>
    </w:p>
    <w:p w14:paraId="025AB713" w14:textId="77777777" w:rsidR="00C570C4" w:rsidRPr="00C570C4" w:rsidRDefault="00C570C4" w:rsidP="00C570C4">
      <w:pPr>
        <w:spacing w:after="0"/>
        <w:rPr>
          <w:rFonts w:cs="Times New Roman"/>
          <w:szCs w:val="24"/>
          <w:lang w:val="hr-HR"/>
        </w:rPr>
      </w:pPr>
      <w:r w:rsidRPr="00C570C4">
        <w:rPr>
          <w:rFonts w:cs="Times New Roman"/>
          <w:szCs w:val="24"/>
          <w:lang w:val="hr-HR"/>
        </w:rPr>
        <w:t>RKP broj</w:t>
      </w:r>
      <w:r w:rsidRPr="00C570C4">
        <w:rPr>
          <w:rFonts w:cs="Times New Roman"/>
          <w:szCs w:val="24"/>
          <w:lang w:val="hr-HR"/>
        </w:rPr>
        <w:tab/>
      </w:r>
      <w:r w:rsidRPr="00C570C4">
        <w:rPr>
          <w:rFonts w:cs="Times New Roman"/>
          <w:szCs w:val="24"/>
          <w:lang w:val="hr-HR"/>
        </w:rPr>
        <w:tab/>
        <w:t>18928</w:t>
      </w:r>
    </w:p>
    <w:p w14:paraId="6D2E0128" w14:textId="77777777" w:rsidR="00C570C4" w:rsidRPr="00C570C4" w:rsidRDefault="00C570C4" w:rsidP="00C570C4">
      <w:pPr>
        <w:spacing w:after="0"/>
        <w:rPr>
          <w:rFonts w:cs="Times New Roman"/>
          <w:szCs w:val="24"/>
          <w:lang w:val="hr-HR"/>
        </w:rPr>
      </w:pPr>
      <w:r w:rsidRPr="00C570C4">
        <w:rPr>
          <w:rFonts w:cs="Times New Roman"/>
          <w:szCs w:val="24"/>
          <w:lang w:val="hr-HR"/>
        </w:rPr>
        <w:t>Razina</w:t>
      </w:r>
      <w:r w:rsidRPr="00C570C4">
        <w:rPr>
          <w:rFonts w:cs="Times New Roman"/>
          <w:szCs w:val="24"/>
          <w:lang w:val="hr-HR"/>
        </w:rPr>
        <w:tab/>
      </w:r>
      <w:r w:rsidRPr="00C570C4">
        <w:rPr>
          <w:rFonts w:cs="Times New Roman"/>
          <w:szCs w:val="24"/>
          <w:lang w:val="hr-HR"/>
        </w:rPr>
        <w:tab/>
      </w:r>
      <w:r w:rsidRPr="00C570C4">
        <w:rPr>
          <w:rFonts w:cs="Times New Roman"/>
          <w:szCs w:val="24"/>
          <w:lang w:val="hr-HR"/>
        </w:rPr>
        <w:tab/>
        <w:t>31</w:t>
      </w:r>
    </w:p>
    <w:p w14:paraId="18EF50A6" w14:textId="77777777" w:rsidR="00C570C4" w:rsidRPr="00C570C4" w:rsidRDefault="00C570C4" w:rsidP="00C570C4">
      <w:pPr>
        <w:spacing w:after="0"/>
        <w:rPr>
          <w:rFonts w:cs="Times New Roman"/>
          <w:szCs w:val="24"/>
          <w:lang w:val="hr-HR"/>
        </w:rPr>
      </w:pPr>
      <w:r w:rsidRPr="00C570C4">
        <w:rPr>
          <w:rFonts w:cs="Times New Roman"/>
          <w:szCs w:val="24"/>
          <w:lang w:val="hr-HR"/>
        </w:rPr>
        <w:t>Šifra djelatnosti</w:t>
      </w:r>
      <w:r w:rsidRPr="00C570C4">
        <w:rPr>
          <w:rFonts w:cs="Times New Roman"/>
          <w:szCs w:val="24"/>
          <w:lang w:val="hr-HR"/>
        </w:rPr>
        <w:tab/>
        <w:t xml:space="preserve">8532  </w:t>
      </w:r>
    </w:p>
    <w:p w14:paraId="2FF5B71D" w14:textId="77777777" w:rsidR="00C570C4" w:rsidRPr="00C570C4" w:rsidRDefault="00C570C4" w:rsidP="00C570C4">
      <w:pPr>
        <w:spacing w:after="0"/>
        <w:rPr>
          <w:rFonts w:cs="Times New Roman"/>
          <w:szCs w:val="24"/>
          <w:lang w:val="hr-HR"/>
        </w:rPr>
      </w:pPr>
    </w:p>
    <w:p w14:paraId="007E9FF7" w14:textId="6822D46C" w:rsidR="00C570C4" w:rsidRPr="00C570C4" w:rsidRDefault="00C570C4" w:rsidP="00C570C4">
      <w:pPr>
        <w:spacing w:after="0"/>
        <w:rPr>
          <w:rFonts w:cs="Times New Roman"/>
          <w:szCs w:val="24"/>
          <w:lang w:val="hr-HR"/>
        </w:rPr>
      </w:pPr>
      <w:r w:rsidRPr="00C570C4">
        <w:rPr>
          <w:rFonts w:cs="Times New Roman"/>
          <w:szCs w:val="24"/>
          <w:lang w:val="hr-HR"/>
        </w:rPr>
        <w:t xml:space="preserve">KLASA: </w:t>
      </w:r>
      <w:r w:rsidR="002563B9">
        <w:rPr>
          <w:rFonts w:cs="Times New Roman"/>
          <w:szCs w:val="24"/>
          <w:lang w:val="hr-HR"/>
        </w:rPr>
        <w:t>400-01/23-01/1</w:t>
      </w:r>
    </w:p>
    <w:p w14:paraId="14CB84B3" w14:textId="37D2DF53" w:rsidR="00C570C4" w:rsidRPr="00C570C4" w:rsidRDefault="00C570C4" w:rsidP="00C570C4">
      <w:pPr>
        <w:spacing w:after="0"/>
        <w:rPr>
          <w:rFonts w:cs="Times New Roman"/>
          <w:szCs w:val="24"/>
          <w:lang w:val="hr-HR"/>
        </w:rPr>
      </w:pPr>
      <w:r w:rsidRPr="00C570C4">
        <w:rPr>
          <w:rFonts w:cs="Times New Roman"/>
          <w:szCs w:val="24"/>
          <w:lang w:val="hr-HR"/>
        </w:rPr>
        <w:t xml:space="preserve">URBROJ:  </w:t>
      </w:r>
      <w:r w:rsidR="002563B9">
        <w:rPr>
          <w:rFonts w:cs="Times New Roman"/>
          <w:szCs w:val="24"/>
          <w:lang w:val="hr-HR"/>
        </w:rPr>
        <w:t>2189-36-01/1-23-1</w:t>
      </w:r>
    </w:p>
    <w:p w14:paraId="5EAE82D2" w14:textId="77777777" w:rsidR="00C570C4" w:rsidRPr="00C570C4" w:rsidRDefault="00C570C4" w:rsidP="00C570C4">
      <w:pPr>
        <w:spacing w:after="0"/>
        <w:rPr>
          <w:rFonts w:cs="Times New Roman"/>
          <w:szCs w:val="24"/>
          <w:lang w:val="hr-HR"/>
        </w:rPr>
      </w:pPr>
      <w:r w:rsidRPr="00C570C4">
        <w:rPr>
          <w:rFonts w:cs="Times New Roman"/>
          <w:szCs w:val="24"/>
          <w:lang w:val="hr-HR"/>
        </w:rPr>
        <w:t>Virovitica, 27. siječnja 2023.</w:t>
      </w:r>
    </w:p>
    <w:p w14:paraId="67DD95AE" w14:textId="77777777" w:rsidR="00C570C4" w:rsidRPr="00C570C4" w:rsidRDefault="00C570C4" w:rsidP="00C570C4">
      <w:pPr>
        <w:rPr>
          <w:rFonts w:cs="Times New Roman"/>
          <w:lang w:val="hr-HR"/>
        </w:rPr>
      </w:pPr>
    </w:p>
    <w:p w14:paraId="3AC41F36" w14:textId="77777777" w:rsidR="00C570C4" w:rsidRPr="00C570C4" w:rsidRDefault="00C570C4" w:rsidP="00C570C4">
      <w:pPr>
        <w:pStyle w:val="Naslov1"/>
        <w:rPr>
          <w:lang w:val="hr-HR"/>
        </w:rPr>
      </w:pPr>
      <w:r w:rsidRPr="00C570C4">
        <w:rPr>
          <w:lang w:val="hr-HR"/>
        </w:rPr>
        <w:t xml:space="preserve">BILJEŠKE UZ FINANCIJSKE IZVJEŠTAJE </w:t>
      </w:r>
    </w:p>
    <w:p w14:paraId="19D2E70C" w14:textId="3AECCFAE" w:rsidR="00C570C4" w:rsidRPr="00C570C4" w:rsidRDefault="00C570C4" w:rsidP="00C570C4">
      <w:pPr>
        <w:pStyle w:val="Naslov2"/>
        <w:rPr>
          <w:lang w:val="hr-HR"/>
        </w:rPr>
      </w:pPr>
      <w:r w:rsidRPr="00C570C4">
        <w:rPr>
          <w:lang w:val="hr-HR"/>
        </w:rPr>
        <w:t xml:space="preserve">za razdoblje siječanj – prosinac 2022. godine </w:t>
      </w:r>
    </w:p>
    <w:p w14:paraId="4AF6684A" w14:textId="77777777" w:rsidR="00C570C4" w:rsidRPr="00C570C4" w:rsidRDefault="00C570C4" w:rsidP="00C570C4">
      <w:pPr>
        <w:rPr>
          <w:rFonts w:cs="Times New Roman"/>
          <w:szCs w:val="24"/>
          <w:lang w:val="hr-HR"/>
        </w:rPr>
      </w:pPr>
      <w:r w:rsidRPr="00C570C4">
        <w:rPr>
          <w:rFonts w:cs="Times New Roman"/>
          <w:szCs w:val="24"/>
          <w:lang w:val="hr-HR"/>
        </w:rPr>
        <w:t>Tehnička je škola smještena u južnom dijelu grada Virovitice. To je podalje od centra grada, ali ne i od svih događanja u gradu. Grad je školu udomio daleke 1951./1952. godine. Tijekom godina škola je mijenjala nazive, programske sadržaje i školske prostore, ali je zadržala kontinuitet rada i zavidne odgojne i obrazovne rezultate. Danas je to škola četverogodišnjeg trajanja koja svojim polaznicima pruža dvostruko - mogućnost zaposlenja ili mogućnost daljnjeg školovanja na nekom od fakulteta u Republici Hrvatskoj.</w:t>
      </w:r>
    </w:p>
    <w:p w14:paraId="6A0BA9CF" w14:textId="37B723C0" w:rsidR="00C570C4" w:rsidRPr="00C570C4" w:rsidRDefault="00C570C4" w:rsidP="00C570C4">
      <w:pPr>
        <w:rPr>
          <w:rFonts w:cs="Times New Roman"/>
          <w:szCs w:val="24"/>
          <w:lang w:val="hr-HR"/>
        </w:rPr>
      </w:pPr>
      <w:r w:rsidRPr="00C570C4">
        <w:rPr>
          <w:rFonts w:cs="Times New Roman"/>
          <w:szCs w:val="24"/>
          <w:lang w:val="hr-HR"/>
        </w:rPr>
        <w:t>Vanjski i unutarnji prostor Tehničke škole je moderniziran, a u sastavu školske zgrade nalazi se i moderno izgrađena i opremljena Športska dvorana. Ista se koristi za potrebe nastave tjelesne i zdravstvene kulture, ali i za potrebe grada prilikom organiziranja različitih športskih i kulturnih manifestacija. Unutarnji je prostor škole opremljen suvremenim kabinetima i praktikumima s visokim stupnjem inf</w:t>
      </w:r>
      <w:r w:rsidR="00C80982">
        <w:rPr>
          <w:rFonts w:cs="Times New Roman"/>
          <w:szCs w:val="24"/>
          <w:lang w:val="hr-HR"/>
        </w:rPr>
        <w:t>ormatizacije. Danas škola ima 21 razredni odjela s 452</w:t>
      </w:r>
      <w:r w:rsidRPr="00C570C4">
        <w:rPr>
          <w:rFonts w:cs="Times New Roman"/>
          <w:szCs w:val="24"/>
          <w:lang w:val="hr-HR"/>
        </w:rPr>
        <w:t xml:space="preserve"> učenika koji su raspoređeni u šest obrazovnih programa. Nastava se odvija u 17 učionica i 11 kabineta i praktikuma. U </w:t>
      </w:r>
      <w:r w:rsidR="00C80982">
        <w:rPr>
          <w:rFonts w:cs="Times New Roman"/>
          <w:szCs w:val="24"/>
          <w:lang w:val="hr-HR"/>
        </w:rPr>
        <w:t>novom</w:t>
      </w:r>
      <w:r w:rsidRPr="00C570C4">
        <w:rPr>
          <w:rFonts w:cs="Times New Roman"/>
          <w:szCs w:val="24"/>
          <w:lang w:val="hr-HR"/>
        </w:rPr>
        <w:t xml:space="preserve"> dijelu školske zgrade nalazi se i knjižnica bogato opremljena stručnim, metodičkim i </w:t>
      </w:r>
      <w:proofErr w:type="spellStart"/>
      <w:r w:rsidRPr="00C570C4">
        <w:rPr>
          <w:rFonts w:cs="Times New Roman"/>
          <w:szCs w:val="24"/>
          <w:lang w:val="hr-HR"/>
        </w:rPr>
        <w:t>lektirnim</w:t>
      </w:r>
      <w:proofErr w:type="spellEnd"/>
      <w:r w:rsidRPr="00C570C4">
        <w:rPr>
          <w:rFonts w:cs="Times New Roman"/>
          <w:szCs w:val="24"/>
          <w:lang w:val="hr-HR"/>
        </w:rPr>
        <w:t xml:space="preserve"> djelima.</w:t>
      </w:r>
    </w:p>
    <w:p w14:paraId="5C7E5C9D" w14:textId="77777777" w:rsidR="00C570C4" w:rsidRPr="00C570C4" w:rsidRDefault="00C570C4" w:rsidP="00C570C4">
      <w:pPr>
        <w:rPr>
          <w:rFonts w:cs="Times New Roman"/>
          <w:szCs w:val="24"/>
          <w:lang w:val="hr-HR"/>
        </w:rPr>
      </w:pPr>
      <w:r w:rsidRPr="00C570C4">
        <w:rPr>
          <w:rFonts w:cs="Times New Roman"/>
          <w:szCs w:val="24"/>
          <w:lang w:val="hr-HR"/>
        </w:rPr>
        <w:t xml:space="preserve">Škola kontinuirano sudjeluje u promicanju tehničkih znanja i strukovnog obrazovanja na razini grada, županije i cijele države. </w:t>
      </w:r>
    </w:p>
    <w:p w14:paraId="76B3DAE2" w14:textId="77777777" w:rsidR="00C570C4" w:rsidRPr="00C570C4" w:rsidRDefault="00C570C4" w:rsidP="00C570C4">
      <w:pPr>
        <w:rPr>
          <w:rFonts w:cs="Times New Roman"/>
          <w:szCs w:val="24"/>
          <w:lang w:val="hr-HR"/>
        </w:rPr>
      </w:pPr>
      <w:r w:rsidRPr="00C570C4">
        <w:rPr>
          <w:rFonts w:cs="Times New Roman"/>
          <w:szCs w:val="24"/>
          <w:lang w:val="hr-HR"/>
        </w:rPr>
        <w:t>Svojim mjestom u sustavu strukovnog obrazovanja te odgojnim i obrazovnim značajkama, Tehnička je škola nedvojbeno dio sigurne budućnosti mladih.</w:t>
      </w:r>
    </w:p>
    <w:p w14:paraId="6CE106DC" w14:textId="77777777" w:rsidR="00C570C4" w:rsidRPr="00C570C4" w:rsidRDefault="00C570C4" w:rsidP="00C570C4">
      <w:pPr>
        <w:rPr>
          <w:rFonts w:cs="Times New Roman"/>
          <w:szCs w:val="24"/>
          <w:lang w:val="hr-HR"/>
        </w:rPr>
      </w:pPr>
      <w:r w:rsidRPr="00C570C4">
        <w:rPr>
          <w:rFonts w:cs="Times New Roman"/>
          <w:szCs w:val="24"/>
          <w:lang w:val="hr-HR"/>
        </w:rPr>
        <w:t xml:space="preserve">Škola je proračunski korisnik u nadležnosti Virovitičko podravske županije. U svom financijskom poslovanju primjenjuje odredbe Zakona o proračunu (Nar. nov., br. 144/21.) koji je u primjeni od 1. siječnja 2022., Pravilnika o proračunskom računovodstvu i računskom planu (Nar. nov., br. </w:t>
      </w:r>
      <w:r w:rsidRPr="00C570C4">
        <w:rPr>
          <w:rFonts w:cs="Times New Roman"/>
          <w:szCs w:val="24"/>
          <w:lang w:val="hr-HR"/>
        </w:rPr>
        <w:lastRenderedPageBreak/>
        <w:t>124/14., 115/15., 87/16., 3/18., 126/19. i 108/20.), Pravilnika o financijskom izvještavanju u proračunskom računovodstvu (Nar. nov., br. 37/22.), Pravilnika o proračunskim klasifikacijama (Nar. nov., br. 26/10., 120/13. i 1/20.) i drugih podzakonskih akata donesenih temeljem Zakona o proračunu.</w:t>
      </w:r>
    </w:p>
    <w:p w14:paraId="6520B1D6" w14:textId="332559A5" w:rsidR="00C570C4" w:rsidRPr="00C570C4" w:rsidRDefault="00C570C4" w:rsidP="00C570C4">
      <w:pPr>
        <w:rPr>
          <w:rFonts w:cs="Times New Roman"/>
          <w:szCs w:val="24"/>
          <w:lang w:val="hr-HR"/>
        </w:rPr>
      </w:pPr>
      <w:r w:rsidRPr="00C570C4">
        <w:rPr>
          <w:rFonts w:cs="Times New Roman"/>
          <w:szCs w:val="24"/>
          <w:lang w:val="hr-HR"/>
        </w:rPr>
        <w:t>Temeljem članka 8. stavka 2. Pravilnika o financijskom izvještavanju u proračunskom računovodstvu za proračunsku godinu sastavljeni su sljedeći financijski izvještaji: Bilanca, Izvještaj o prihodima i rashodima, primicima i izdacima, Izvještaj o obvezama, Izvještaj o rashodima prema funkcijskoj klasifikaciji, Izvještaj o promjenama u vrijednosti i obujmu imovine i obveza i Bilješke.</w:t>
      </w:r>
    </w:p>
    <w:p w14:paraId="32534D56" w14:textId="77777777" w:rsidR="00C570C4" w:rsidRPr="00C570C4" w:rsidRDefault="00C570C4" w:rsidP="00C570C4">
      <w:pPr>
        <w:pStyle w:val="Naslov1"/>
        <w:rPr>
          <w:lang w:val="hr-HR"/>
        </w:rPr>
      </w:pPr>
      <w:r w:rsidRPr="00C570C4">
        <w:rPr>
          <w:lang w:val="hr-HR"/>
        </w:rPr>
        <w:t>Bilješke uz Bilancu</w:t>
      </w:r>
    </w:p>
    <w:p w14:paraId="40CAB9FA" w14:textId="77777777" w:rsidR="00C570C4" w:rsidRPr="00C570C4" w:rsidRDefault="00C570C4" w:rsidP="00C570C4">
      <w:pPr>
        <w:pStyle w:val="Naslov2"/>
        <w:rPr>
          <w:lang w:val="hr-HR"/>
        </w:rPr>
      </w:pPr>
      <w:r w:rsidRPr="00C570C4">
        <w:rPr>
          <w:lang w:val="hr-HR"/>
        </w:rPr>
        <w:t>Bilješka br. 1.</w:t>
      </w:r>
    </w:p>
    <w:p w14:paraId="3C4D8E94" w14:textId="77777777" w:rsidR="00C570C4" w:rsidRPr="00C570C4" w:rsidRDefault="00C570C4" w:rsidP="00C570C4">
      <w:pPr>
        <w:pStyle w:val="Naslov2"/>
        <w:rPr>
          <w:lang w:val="hr-HR"/>
        </w:rPr>
      </w:pPr>
      <w:r w:rsidRPr="00C570C4">
        <w:rPr>
          <w:lang w:val="hr-HR"/>
        </w:rPr>
        <w:t>Šifra B002</w:t>
      </w:r>
    </w:p>
    <w:p w14:paraId="066386AE" w14:textId="77777777" w:rsidR="00C570C4" w:rsidRPr="00C570C4" w:rsidRDefault="00C570C4" w:rsidP="00C570C4">
      <w:pPr>
        <w:rPr>
          <w:rFonts w:cs="Times New Roman"/>
          <w:szCs w:val="24"/>
          <w:lang w:val="hr-HR"/>
        </w:rPr>
      </w:pPr>
      <w:r w:rsidRPr="00C570C4">
        <w:rPr>
          <w:rFonts w:cs="Times New Roman"/>
          <w:szCs w:val="24"/>
          <w:lang w:val="hr-HR"/>
        </w:rPr>
        <w:t>Ukupna knjigovodstvena vrijednost dugotrajne nefinancijske imovine na dan 31. prosinca 2022. je 6.561.411,26 kuna. U odnosu na stanje na dan 1. siječnja 2022. knjigovodstvena vrijednost se povećala za 5%.</w:t>
      </w:r>
    </w:p>
    <w:p w14:paraId="33327C8E" w14:textId="798AF849" w:rsidR="00C570C4" w:rsidRPr="00C570C4" w:rsidRDefault="00C570C4" w:rsidP="00C570C4">
      <w:pPr>
        <w:rPr>
          <w:rFonts w:cs="Times New Roman"/>
          <w:szCs w:val="24"/>
          <w:lang w:val="hr-HR"/>
        </w:rPr>
      </w:pPr>
      <w:r w:rsidRPr="00C570C4">
        <w:rPr>
          <w:rFonts w:cs="Times New Roman"/>
          <w:szCs w:val="24"/>
          <w:lang w:val="hr-HR"/>
        </w:rPr>
        <w:t xml:space="preserve">Tijekom 2022. nabavljena je nova nefinancijska imovina u ukupnoj vrijednosti od 67.943,03 kune. za energetsku obnovu dvorane u iznosu od 507.404,86 kuna, Nabavljena su računala i računalna oprema u iznosu od 5.199,80 kune,  oprema u iznosu od 44.183,05 kuna, knjige u iznosu od 18.225,46, te sitni inventar u iznosu od 7.022,72. Na porast nabavne vrijednosti nefinancijske </w:t>
      </w:r>
      <w:r w:rsidR="003A03A4" w:rsidRPr="00C570C4">
        <w:rPr>
          <w:rFonts w:cs="Times New Roman"/>
          <w:szCs w:val="24"/>
          <w:lang w:val="hr-HR"/>
        </w:rPr>
        <w:t>imovine</w:t>
      </w:r>
      <w:r w:rsidRPr="00C570C4">
        <w:rPr>
          <w:rFonts w:cs="Times New Roman"/>
          <w:szCs w:val="24"/>
          <w:lang w:val="hr-HR"/>
        </w:rPr>
        <w:t xml:space="preserve"> utjecalo je i povećanje vrijednosti dvorane koje je knjiženo preko podskupine 915 kao prijenos ulaganja koje je provela Virovitičko-podravska županija. Također su  primljene od donacija knjige u ukupnoj vrijednosti 6.688,00 kuna, dok su istovremeno rashodovane knjige u ukupnoj vrijednosti od 4.093,13 kuna.</w:t>
      </w:r>
    </w:p>
    <w:p w14:paraId="02C98996" w14:textId="5CF2C6FF" w:rsidR="00C570C4" w:rsidRPr="00C570C4" w:rsidRDefault="00C570C4" w:rsidP="00C570C4">
      <w:pPr>
        <w:rPr>
          <w:rFonts w:cs="Times New Roman"/>
          <w:szCs w:val="24"/>
          <w:lang w:val="hr-HR"/>
        </w:rPr>
      </w:pPr>
      <w:r w:rsidRPr="00C570C4">
        <w:rPr>
          <w:rFonts w:cs="Times New Roman"/>
          <w:szCs w:val="24"/>
          <w:lang w:val="hr-HR"/>
        </w:rPr>
        <w:t xml:space="preserve">Na dan 31. prosinca 2022. proveden je ispravak vrijednosti </w:t>
      </w:r>
      <w:r w:rsidR="003A03A4" w:rsidRPr="00C570C4">
        <w:rPr>
          <w:rFonts w:cs="Times New Roman"/>
          <w:szCs w:val="24"/>
          <w:lang w:val="hr-HR"/>
        </w:rPr>
        <w:t>nefinancijske imovine</w:t>
      </w:r>
      <w:r w:rsidRPr="00C570C4">
        <w:rPr>
          <w:rFonts w:cs="Times New Roman"/>
          <w:szCs w:val="24"/>
          <w:lang w:val="hr-HR"/>
        </w:rPr>
        <w:t xml:space="preserve"> prema propisanim stopama.</w:t>
      </w:r>
    </w:p>
    <w:p w14:paraId="08AFE855" w14:textId="77777777" w:rsidR="00C570C4" w:rsidRPr="00C570C4" w:rsidRDefault="00C570C4" w:rsidP="00C570C4">
      <w:pPr>
        <w:pStyle w:val="Naslov2"/>
        <w:rPr>
          <w:lang w:val="hr-HR"/>
        </w:rPr>
      </w:pPr>
      <w:r w:rsidRPr="00C570C4">
        <w:rPr>
          <w:lang w:val="hr-HR"/>
        </w:rPr>
        <w:t>Bilješka br. 2.</w:t>
      </w:r>
    </w:p>
    <w:p w14:paraId="5F70B821" w14:textId="77777777" w:rsidR="00C570C4" w:rsidRPr="00C570C4" w:rsidRDefault="00C570C4" w:rsidP="00C570C4">
      <w:pPr>
        <w:pStyle w:val="Naslov2"/>
        <w:rPr>
          <w:lang w:val="hr-HR"/>
        </w:rPr>
      </w:pPr>
      <w:r w:rsidRPr="00C570C4">
        <w:rPr>
          <w:lang w:val="hr-HR"/>
        </w:rPr>
        <w:t>Šifra 11</w:t>
      </w:r>
    </w:p>
    <w:p w14:paraId="0254C41E" w14:textId="77777777" w:rsidR="00C570C4" w:rsidRPr="00C570C4" w:rsidRDefault="00C570C4" w:rsidP="00C570C4">
      <w:pPr>
        <w:rPr>
          <w:rFonts w:cs="Times New Roman"/>
          <w:szCs w:val="24"/>
          <w:lang w:val="hr-HR"/>
        </w:rPr>
      </w:pPr>
      <w:r w:rsidRPr="00C570C4">
        <w:rPr>
          <w:rFonts w:cs="Times New Roman"/>
          <w:szCs w:val="24"/>
          <w:lang w:val="hr-HR"/>
        </w:rPr>
        <w:t>Škola posluje preko žiro računa Virovitičko podravske županije s kojega se plaća prijevoz, te računi dobavljača, a plaće i materijalna prava i, a plaće i materijalna prava zaposlenika plaćaju se iz sredstava državnog proračuna preko sustava kolekcije.</w:t>
      </w:r>
    </w:p>
    <w:p w14:paraId="212B1805" w14:textId="60F8EDFA" w:rsidR="00C570C4" w:rsidRPr="00C570C4" w:rsidRDefault="00C570C4" w:rsidP="00C570C4">
      <w:pPr>
        <w:rPr>
          <w:rFonts w:cs="Times New Roman"/>
          <w:szCs w:val="24"/>
          <w:lang w:val="hr-HR"/>
        </w:rPr>
      </w:pPr>
      <w:r w:rsidRPr="00C570C4">
        <w:rPr>
          <w:rFonts w:cs="Times New Roman"/>
          <w:szCs w:val="24"/>
          <w:lang w:val="hr-HR"/>
        </w:rPr>
        <w:t>Škola ima jednu blagajnu. Na dan 1 siječnja 2022. saldo blagajne bio je 0,00 kuna. Na dan 31. prosinca saldo blagajne bio je 0,00 kuna.</w:t>
      </w:r>
    </w:p>
    <w:p w14:paraId="0D453B65" w14:textId="72F2C0E1" w:rsidR="00C570C4" w:rsidRPr="00C570C4" w:rsidRDefault="004C0D3C" w:rsidP="00C570C4">
      <w:pPr>
        <w:pStyle w:val="Naslov2"/>
        <w:rPr>
          <w:lang w:val="hr-HR"/>
        </w:rPr>
      </w:pPr>
      <w:r>
        <w:rPr>
          <w:lang w:val="hr-HR"/>
        </w:rPr>
        <w:t>Bilješka br. 3</w:t>
      </w:r>
      <w:r w:rsidR="00C570C4" w:rsidRPr="00C570C4">
        <w:rPr>
          <w:lang w:val="hr-HR"/>
        </w:rPr>
        <w:t>.</w:t>
      </w:r>
    </w:p>
    <w:p w14:paraId="34045624" w14:textId="77777777" w:rsidR="00C570C4" w:rsidRPr="00C570C4" w:rsidRDefault="00C570C4" w:rsidP="00C570C4">
      <w:pPr>
        <w:pStyle w:val="Naslov2"/>
        <w:rPr>
          <w:lang w:val="hr-HR"/>
        </w:rPr>
      </w:pPr>
      <w:r w:rsidRPr="00C570C4">
        <w:rPr>
          <w:lang w:val="hr-HR"/>
        </w:rPr>
        <w:t>Šifra 129</w:t>
      </w:r>
    </w:p>
    <w:p w14:paraId="25696701" w14:textId="77777777" w:rsidR="00C570C4" w:rsidRPr="00C570C4" w:rsidRDefault="00C570C4" w:rsidP="00C570C4">
      <w:pPr>
        <w:rPr>
          <w:rFonts w:cs="Times New Roman"/>
          <w:szCs w:val="24"/>
          <w:lang w:val="hr-HR"/>
        </w:rPr>
      </w:pPr>
      <w:r w:rsidRPr="00C570C4">
        <w:rPr>
          <w:rFonts w:cs="Times New Roman"/>
          <w:szCs w:val="24"/>
          <w:lang w:val="hr-HR"/>
        </w:rPr>
        <w:t xml:space="preserve">Na podskupini 129 Ostala potraživanja iskazana su potraživanja od HZZO-a za bolovanja iznad 42 dana i za ozljedu na radu (osnovni račun 12911) u iznosu od 44.913,66 kune. Taj iznos odgovara </w:t>
      </w:r>
      <w:r w:rsidRPr="00C570C4">
        <w:rPr>
          <w:rFonts w:cs="Times New Roman"/>
          <w:szCs w:val="24"/>
          <w:lang w:val="hr-HR"/>
        </w:rPr>
        <w:lastRenderedPageBreak/>
        <w:t xml:space="preserve">zbroju iznosa iskazanih na računima 23122 Obveze za bolovanja na teret zdravstvenih zavoda (12.598,60 kuna) i 23958 Obveze proračunskih korisnika za povrat u proračun (32.315,06 kuna). </w:t>
      </w:r>
    </w:p>
    <w:p w14:paraId="61C2235D" w14:textId="2EBE98CE" w:rsidR="00C570C4" w:rsidRPr="00C570C4" w:rsidRDefault="00C570C4" w:rsidP="00C570C4">
      <w:pPr>
        <w:rPr>
          <w:rFonts w:cs="Times New Roman"/>
          <w:szCs w:val="24"/>
          <w:lang w:val="hr-HR"/>
        </w:rPr>
      </w:pPr>
      <w:r w:rsidRPr="00C570C4">
        <w:rPr>
          <w:rFonts w:cs="Times New Roman"/>
          <w:szCs w:val="24"/>
          <w:lang w:val="hr-HR"/>
        </w:rPr>
        <w:t>Prema uputama Ministarstva financija HZZO je tijekom 2022. proveo tri refundacije sredstava koja je Škola isplatila zaposlenicima u ukupnom iznosu od 37.078,76. Stoga je u tom iznosu zatvoreno potraživanje, dok je tijekom 2022. isplaćeno odnosno obračunano zaposlenicima 44.913,66 kune novih naknada koje se potražuju od HZZO-a.</w:t>
      </w:r>
    </w:p>
    <w:p w14:paraId="6FD3A0EA" w14:textId="2316CD7F" w:rsidR="00C570C4" w:rsidRPr="00C570C4" w:rsidRDefault="004C0D3C" w:rsidP="00C570C4">
      <w:pPr>
        <w:pStyle w:val="Naslov2"/>
        <w:rPr>
          <w:lang w:val="hr-HR"/>
        </w:rPr>
      </w:pPr>
      <w:r>
        <w:rPr>
          <w:lang w:val="hr-HR"/>
        </w:rPr>
        <w:t>Bilješka br. 4</w:t>
      </w:r>
      <w:r w:rsidR="00C570C4" w:rsidRPr="00C570C4">
        <w:rPr>
          <w:lang w:val="hr-HR"/>
        </w:rPr>
        <w:t>.</w:t>
      </w:r>
    </w:p>
    <w:p w14:paraId="24D1340F" w14:textId="77777777" w:rsidR="00C570C4" w:rsidRPr="00C570C4" w:rsidRDefault="00C570C4" w:rsidP="00C570C4">
      <w:pPr>
        <w:pStyle w:val="Naslov2"/>
        <w:rPr>
          <w:lang w:val="hr-HR"/>
        </w:rPr>
      </w:pPr>
      <w:r w:rsidRPr="00C570C4">
        <w:rPr>
          <w:lang w:val="hr-HR"/>
        </w:rPr>
        <w:t>Šifra 167</w:t>
      </w:r>
    </w:p>
    <w:p w14:paraId="5329A5FD" w14:textId="77AFCFAA" w:rsidR="00C570C4" w:rsidRPr="00C570C4" w:rsidRDefault="00C570C4" w:rsidP="00C570C4">
      <w:pPr>
        <w:rPr>
          <w:rFonts w:cs="Times New Roman"/>
          <w:szCs w:val="24"/>
          <w:lang w:val="hr-HR"/>
        </w:rPr>
      </w:pPr>
      <w:r w:rsidRPr="00C570C4">
        <w:rPr>
          <w:rFonts w:cs="Times New Roman"/>
          <w:szCs w:val="24"/>
          <w:lang w:val="hr-HR"/>
        </w:rPr>
        <w:t>16721 Potraživanja proračunskih korisnika za sredstva uplaćena u nadležni proračun. Iznos od 95.537,13 kuna iskazan na skupini 16 Potraživanja za prihode poslovanja u cijelosti se odnosi na saldo računa 16721.</w:t>
      </w:r>
    </w:p>
    <w:p w14:paraId="7FD1B33F" w14:textId="10441681" w:rsidR="00C570C4" w:rsidRPr="00C570C4" w:rsidRDefault="004C0D3C" w:rsidP="00C570C4">
      <w:pPr>
        <w:pStyle w:val="Naslov2"/>
        <w:rPr>
          <w:lang w:val="hr-HR"/>
        </w:rPr>
      </w:pPr>
      <w:r>
        <w:rPr>
          <w:lang w:val="hr-HR"/>
        </w:rPr>
        <w:t>Bilješka br. 5</w:t>
      </w:r>
      <w:r w:rsidR="00C570C4" w:rsidRPr="00C570C4">
        <w:rPr>
          <w:lang w:val="hr-HR"/>
        </w:rPr>
        <w:t>.</w:t>
      </w:r>
    </w:p>
    <w:p w14:paraId="2AD67E03" w14:textId="77777777" w:rsidR="00C570C4" w:rsidRPr="00C570C4" w:rsidRDefault="00C570C4" w:rsidP="00C570C4">
      <w:pPr>
        <w:pStyle w:val="Naslov2"/>
        <w:rPr>
          <w:lang w:val="hr-HR"/>
        </w:rPr>
      </w:pPr>
      <w:r w:rsidRPr="00C570C4">
        <w:rPr>
          <w:lang w:val="hr-HR"/>
        </w:rPr>
        <w:t>Šifra 19</w:t>
      </w:r>
    </w:p>
    <w:p w14:paraId="62CB3F09" w14:textId="274AB288" w:rsidR="00C570C4" w:rsidRPr="00C570C4" w:rsidRDefault="00C570C4" w:rsidP="00C570C4">
      <w:pPr>
        <w:rPr>
          <w:rFonts w:cs="Times New Roman"/>
          <w:szCs w:val="24"/>
          <w:lang w:val="hr-HR"/>
        </w:rPr>
      </w:pPr>
      <w:r w:rsidRPr="00C570C4">
        <w:rPr>
          <w:rFonts w:cs="Times New Roman"/>
          <w:szCs w:val="24"/>
          <w:lang w:val="hr-HR"/>
        </w:rPr>
        <w:t>Na skupini 19 Rashodi budućih razdoblja i nedospjela naplata prihoda iskazani su rashodi za plaće za zaposlene za prosinac 2022. u iznosu od 765.834,88 kuna.</w:t>
      </w:r>
    </w:p>
    <w:p w14:paraId="2A3E1FDA" w14:textId="69CDE3DD" w:rsidR="00C570C4" w:rsidRPr="00C570C4" w:rsidRDefault="004C0D3C" w:rsidP="00C570C4">
      <w:pPr>
        <w:pStyle w:val="Naslov2"/>
        <w:rPr>
          <w:lang w:val="hr-HR"/>
        </w:rPr>
      </w:pPr>
      <w:r>
        <w:rPr>
          <w:lang w:val="hr-HR"/>
        </w:rPr>
        <w:t>Bilješka br. 6</w:t>
      </w:r>
      <w:r w:rsidR="00C570C4" w:rsidRPr="00C570C4">
        <w:rPr>
          <w:lang w:val="hr-HR"/>
        </w:rPr>
        <w:t>.</w:t>
      </w:r>
    </w:p>
    <w:p w14:paraId="2C58C809" w14:textId="77777777" w:rsidR="00C570C4" w:rsidRPr="00C570C4" w:rsidRDefault="00C570C4" w:rsidP="00C570C4">
      <w:pPr>
        <w:pStyle w:val="Naslov2"/>
        <w:rPr>
          <w:lang w:val="hr-HR"/>
        </w:rPr>
      </w:pPr>
      <w:r w:rsidRPr="00C570C4">
        <w:rPr>
          <w:lang w:val="hr-HR"/>
        </w:rPr>
        <w:t>Šifra 231</w:t>
      </w:r>
    </w:p>
    <w:p w14:paraId="1EEF40F1" w14:textId="5B7EB74C" w:rsidR="00C570C4" w:rsidRPr="00C570C4" w:rsidRDefault="00C570C4" w:rsidP="00C570C4">
      <w:pPr>
        <w:rPr>
          <w:rFonts w:cs="Times New Roman"/>
          <w:szCs w:val="24"/>
          <w:lang w:val="hr-HR"/>
        </w:rPr>
      </w:pPr>
      <w:r w:rsidRPr="00C570C4">
        <w:rPr>
          <w:rFonts w:cs="Times New Roman"/>
          <w:szCs w:val="24"/>
          <w:lang w:val="hr-HR"/>
        </w:rPr>
        <w:t>Iznos od 774.272,51 kuna iskazan na podskupini 231 Obveze za zaposlene odnosi se na obvezu za plaću za prosinac.</w:t>
      </w:r>
    </w:p>
    <w:p w14:paraId="5B9B2BC6" w14:textId="58416851" w:rsidR="00C570C4" w:rsidRPr="00C570C4" w:rsidRDefault="004C0D3C" w:rsidP="00C570C4">
      <w:pPr>
        <w:pStyle w:val="Naslov2"/>
        <w:rPr>
          <w:lang w:val="hr-HR"/>
        </w:rPr>
      </w:pPr>
      <w:r>
        <w:rPr>
          <w:lang w:val="hr-HR"/>
        </w:rPr>
        <w:t>Bilješka br. 7</w:t>
      </w:r>
      <w:r w:rsidR="00C570C4" w:rsidRPr="00C570C4">
        <w:rPr>
          <w:lang w:val="hr-HR"/>
        </w:rPr>
        <w:t>.</w:t>
      </w:r>
    </w:p>
    <w:p w14:paraId="6AEB3D0B" w14:textId="77777777" w:rsidR="00C570C4" w:rsidRPr="00C570C4" w:rsidRDefault="00C570C4" w:rsidP="00C570C4">
      <w:pPr>
        <w:pStyle w:val="Naslov2"/>
        <w:rPr>
          <w:lang w:val="hr-HR"/>
        </w:rPr>
      </w:pPr>
      <w:r w:rsidRPr="00C570C4">
        <w:rPr>
          <w:lang w:val="hr-HR"/>
        </w:rPr>
        <w:t>Šifra 232</w:t>
      </w:r>
    </w:p>
    <w:p w14:paraId="5D91C156" w14:textId="77777777" w:rsidR="00C570C4" w:rsidRPr="00C570C4" w:rsidRDefault="00C570C4" w:rsidP="00C570C4">
      <w:pPr>
        <w:rPr>
          <w:rFonts w:cs="Times New Roman"/>
          <w:szCs w:val="24"/>
          <w:lang w:val="hr-HR"/>
        </w:rPr>
      </w:pPr>
      <w:r w:rsidRPr="00C570C4">
        <w:rPr>
          <w:rFonts w:cs="Times New Roman"/>
          <w:szCs w:val="24"/>
          <w:lang w:val="hr-HR"/>
        </w:rPr>
        <w:t>Iznos od 193.794,49 kuna iskazan na podskupini 232 Obveze za materijalne rashode obuhvaća obveze za ugovore o djelu u iznosu od 2.285,97, naknadu za nezapošljavanje invalida u iznosu od 1.875,00, rashode za energiju u iznosu od 187.228,55, te za komunalne usluge i usluge telefona u iznosu od 2.404,97</w:t>
      </w:r>
    </w:p>
    <w:p w14:paraId="3BB2E146" w14:textId="11E1F44A" w:rsidR="00C570C4" w:rsidRPr="00C570C4" w:rsidRDefault="004C0D3C" w:rsidP="00C570C4">
      <w:pPr>
        <w:pStyle w:val="Naslov2"/>
        <w:rPr>
          <w:lang w:val="hr-HR"/>
        </w:rPr>
      </w:pPr>
      <w:r>
        <w:rPr>
          <w:lang w:val="hr-HR"/>
        </w:rPr>
        <w:t>Bilješka br. 8</w:t>
      </w:r>
      <w:r w:rsidR="00C570C4" w:rsidRPr="00C570C4">
        <w:rPr>
          <w:lang w:val="hr-HR"/>
        </w:rPr>
        <w:t>.</w:t>
      </w:r>
    </w:p>
    <w:p w14:paraId="58791CE2" w14:textId="77777777" w:rsidR="00C570C4" w:rsidRPr="00C570C4" w:rsidRDefault="00C570C4" w:rsidP="00C570C4">
      <w:pPr>
        <w:pStyle w:val="Naslov2"/>
        <w:rPr>
          <w:lang w:val="hr-HR"/>
        </w:rPr>
      </w:pPr>
      <w:r w:rsidRPr="00C570C4">
        <w:rPr>
          <w:lang w:val="hr-HR"/>
        </w:rPr>
        <w:t>Šifra 239</w:t>
      </w:r>
    </w:p>
    <w:p w14:paraId="32F8F97A" w14:textId="2AE62DFB" w:rsidR="00C570C4" w:rsidRPr="00C570C4" w:rsidRDefault="00C570C4" w:rsidP="00C570C4">
      <w:pPr>
        <w:rPr>
          <w:rFonts w:cs="Times New Roman"/>
          <w:szCs w:val="24"/>
          <w:lang w:val="hr-HR"/>
        </w:rPr>
      </w:pPr>
      <w:r w:rsidRPr="00C570C4">
        <w:rPr>
          <w:rFonts w:cs="Times New Roman"/>
          <w:szCs w:val="24"/>
          <w:lang w:val="hr-HR"/>
        </w:rPr>
        <w:t>Obveze proračunskih korisnika za povrat u proračun odnose se na potraživanja od HZZO-a u iznosu od 33.732,06.</w:t>
      </w:r>
    </w:p>
    <w:p w14:paraId="14879045" w14:textId="2029EA16" w:rsidR="00C570C4" w:rsidRPr="00C570C4" w:rsidRDefault="004C0D3C" w:rsidP="00C570C4">
      <w:pPr>
        <w:pStyle w:val="Naslov2"/>
        <w:rPr>
          <w:lang w:val="hr-HR"/>
        </w:rPr>
      </w:pPr>
      <w:r>
        <w:rPr>
          <w:lang w:val="hr-HR"/>
        </w:rPr>
        <w:t>Bilješka br. 9</w:t>
      </w:r>
      <w:r w:rsidR="00C570C4" w:rsidRPr="00C570C4">
        <w:rPr>
          <w:lang w:val="hr-HR"/>
        </w:rPr>
        <w:t>.</w:t>
      </w:r>
    </w:p>
    <w:p w14:paraId="2FB65D77" w14:textId="77777777" w:rsidR="00C570C4" w:rsidRPr="00C570C4" w:rsidRDefault="00C570C4" w:rsidP="00C570C4">
      <w:pPr>
        <w:pStyle w:val="Naslov2"/>
        <w:rPr>
          <w:lang w:val="hr-HR"/>
        </w:rPr>
      </w:pPr>
      <w:r w:rsidRPr="00C570C4">
        <w:rPr>
          <w:lang w:val="hr-HR"/>
        </w:rPr>
        <w:t>Šifra 911</w:t>
      </w:r>
    </w:p>
    <w:p w14:paraId="7E4964BE" w14:textId="0D0F9C27" w:rsidR="00C570C4" w:rsidRPr="00C570C4" w:rsidRDefault="00C570C4" w:rsidP="00C570C4">
      <w:pPr>
        <w:rPr>
          <w:rFonts w:cs="Times New Roman"/>
          <w:szCs w:val="24"/>
          <w:lang w:val="hr-HR"/>
        </w:rPr>
      </w:pPr>
      <w:r w:rsidRPr="00C570C4">
        <w:rPr>
          <w:rFonts w:cs="Times New Roman"/>
          <w:szCs w:val="24"/>
          <w:lang w:val="hr-HR"/>
        </w:rPr>
        <w:t>Iznos na podskupini 911 Vlastiti izvori predstavlja knjigovodstvenu vrijednost dugotrajne nefinancijske imovine.</w:t>
      </w:r>
    </w:p>
    <w:p w14:paraId="60AAD039" w14:textId="5BB24D36" w:rsidR="00C570C4" w:rsidRPr="00C570C4" w:rsidRDefault="004C0D3C" w:rsidP="00C570C4">
      <w:pPr>
        <w:pStyle w:val="Naslov2"/>
        <w:rPr>
          <w:lang w:val="hr-HR"/>
        </w:rPr>
      </w:pPr>
      <w:r>
        <w:rPr>
          <w:lang w:val="hr-HR"/>
        </w:rPr>
        <w:lastRenderedPageBreak/>
        <w:t>Bilješka br. 10</w:t>
      </w:r>
      <w:r w:rsidR="00C570C4" w:rsidRPr="00C570C4">
        <w:rPr>
          <w:lang w:val="hr-HR"/>
        </w:rPr>
        <w:t>.</w:t>
      </w:r>
    </w:p>
    <w:p w14:paraId="14030D93" w14:textId="77777777" w:rsidR="00C570C4" w:rsidRPr="00C570C4" w:rsidRDefault="00C570C4" w:rsidP="00C570C4">
      <w:pPr>
        <w:pStyle w:val="Naslov2"/>
        <w:rPr>
          <w:lang w:val="hr-HR"/>
        </w:rPr>
      </w:pPr>
      <w:r w:rsidRPr="00C570C4">
        <w:rPr>
          <w:lang w:val="hr-HR"/>
        </w:rPr>
        <w:t>Šifra 922</w:t>
      </w:r>
    </w:p>
    <w:p w14:paraId="542C8556" w14:textId="35EFB39E" w:rsidR="00C570C4" w:rsidRPr="00C570C4" w:rsidRDefault="00C570C4" w:rsidP="00C570C4">
      <w:pPr>
        <w:rPr>
          <w:rFonts w:cs="Times New Roman"/>
          <w:szCs w:val="24"/>
          <w:lang w:val="hr-HR"/>
        </w:rPr>
      </w:pPr>
      <w:r w:rsidRPr="00C570C4">
        <w:rPr>
          <w:rFonts w:cs="Times New Roman"/>
          <w:szCs w:val="24"/>
          <w:lang w:val="hr-HR"/>
        </w:rPr>
        <w:t xml:space="preserve">U 2022. godini ostvaren je manjak poslovanja u iznosu od 170.650,57 kuna što je vidljivo u PR-RAS-u na šifri Y001 te manjak prihoda od nefinancijske imovine u iznosu od 58.988,31 kune što je vidljivo u PR-RAS-u na šifri Y002. Nakon sučeljavanja s prenesenim viškom poslovanja iz </w:t>
      </w:r>
      <w:r w:rsidR="006132F4">
        <w:rPr>
          <w:rFonts w:cs="Times New Roman"/>
          <w:szCs w:val="24"/>
          <w:lang w:val="hr-HR"/>
        </w:rPr>
        <w:t>2021. godine u iznosu od 133.989,2</w:t>
      </w:r>
      <w:r w:rsidRPr="00C570C4">
        <w:rPr>
          <w:rFonts w:cs="Times New Roman"/>
          <w:szCs w:val="24"/>
          <w:lang w:val="hr-HR"/>
        </w:rPr>
        <w:t>3 kune (iskazano u PR-RAS-u na šifri 92211),</w:t>
      </w:r>
      <w:r w:rsidR="008B08E3">
        <w:rPr>
          <w:rFonts w:cs="Times New Roman"/>
          <w:szCs w:val="24"/>
          <w:lang w:val="hr-HR"/>
        </w:rPr>
        <w:t xml:space="preserve"> manjak poslovanja iznosi 36.661,3</w:t>
      </w:r>
      <w:r w:rsidRPr="00C570C4">
        <w:rPr>
          <w:rFonts w:cs="Times New Roman"/>
          <w:szCs w:val="24"/>
          <w:lang w:val="hr-HR"/>
        </w:rPr>
        <w:t>4 kune.</w:t>
      </w:r>
    </w:p>
    <w:p w14:paraId="447B463D" w14:textId="238A55F0" w:rsidR="00C570C4" w:rsidRPr="00C570C4" w:rsidRDefault="00C570C4" w:rsidP="00C570C4">
      <w:pPr>
        <w:rPr>
          <w:rFonts w:cs="Times New Roman"/>
          <w:szCs w:val="24"/>
          <w:lang w:val="hr-HR"/>
        </w:rPr>
      </w:pPr>
      <w:r w:rsidRPr="00C570C4">
        <w:rPr>
          <w:rFonts w:cs="Times New Roman"/>
          <w:szCs w:val="24"/>
          <w:lang w:val="hr-HR"/>
        </w:rPr>
        <w:t xml:space="preserve">Sukladno članku 82. stavku 1. Pravilnika o proračunskom računovodstvu i Računskom planu provedena je korekcija rezultata na način da je manjak poslovanja povećan za 6.569,00 kuna kapitalnih pomoći iz državnog proračuna evidentiranih na računu 63622, dok je istovremeno manjak prihoda od nefinancijske imovine smanjen za isti iznos. </w:t>
      </w:r>
    </w:p>
    <w:p w14:paraId="48427571" w14:textId="77777777" w:rsidR="00C570C4" w:rsidRPr="00C570C4" w:rsidRDefault="00C570C4" w:rsidP="00C570C4">
      <w:pPr>
        <w:pStyle w:val="Naslov1"/>
        <w:rPr>
          <w:lang w:val="hr-HR"/>
        </w:rPr>
      </w:pPr>
      <w:r w:rsidRPr="00C570C4">
        <w:rPr>
          <w:lang w:val="hr-HR"/>
        </w:rPr>
        <w:t>Bilješke uz Izvještaj o prihodima i rashodima, primicima i izdacima</w:t>
      </w:r>
    </w:p>
    <w:p w14:paraId="38A03D61" w14:textId="77777777" w:rsidR="00C570C4" w:rsidRPr="00C570C4" w:rsidRDefault="00C570C4" w:rsidP="00C570C4">
      <w:pPr>
        <w:pStyle w:val="Naslov2"/>
        <w:rPr>
          <w:lang w:val="hr-HR"/>
        </w:rPr>
      </w:pPr>
      <w:r w:rsidRPr="00C570C4">
        <w:rPr>
          <w:lang w:val="hr-HR"/>
        </w:rPr>
        <w:t>Bilješka br. 1.</w:t>
      </w:r>
    </w:p>
    <w:p w14:paraId="765F7718" w14:textId="77777777" w:rsidR="00C570C4" w:rsidRPr="00C570C4" w:rsidRDefault="00C570C4" w:rsidP="00C570C4">
      <w:pPr>
        <w:pStyle w:val="Naslov2"/>
        <w:rPr>
          <w:lang w:val="hr-HR"/>
        </w:rPr>
      </w:pPr>
      <w:r w:rsidRPr="00C570C4">
        <w:rPr>
          <w:lang w:val="hr-HR"/>
        </w:rPr>
        <w:t>Šifra 6</w:t>
      </w:r>
    </w:p>
    <w:p w14:paraId="1B2C7B58" w14:textId="7E371E17" w:rsidR="00C570C4" w:rsidRPr="00C570C4" w:rsidRDefault="00C570C4" w:rsidP="00C570C4">
      <w:pPr>
        <w:rPr>
          <w:rFonts w:cs="Times New Roman"/>
          <w:szCs w:val="24"/>
          <w:lang w:val="hr-HR"/>
        </w:rPr>
      </w:pPr>
      <w:r w:rsidRPr="00C570C4">
        <w:rPr>
          <w:rFonts w:cs="Times New Roman"/>
          <w:szCs w:val="24"/>
          <w:lang w:val="hr-HR"/>
        </w:rPr>
        <w:t>Škola je u 2022. godini ostvarila ukupne prihode poslovanja u iznosu od 10.183.165,94 kune što je za 8,25% više nego prethodne godine.</w:t>
      </w:r>
    </w:p>
    <w:p w14:paraId="14849EF6" w14:textId="4D4C58A9" w:rsidR="00C570C4" w:rsidRPr="00C570C4" w:rsidRDefault="004C0D3C" w:rsidP="00C570C4">
      <w:pPr>
        <w:pStyle w:val="Naslov2"/>
        <w:rPr>
          <w:lang w:val="hr-HR"/>
        </w:rPr>
      </w:pPr>
      <w:r>
        <w:rPr>
          <w:lang w:val="hr-HR"/>
        </w:rPr>
        <w:t>Bilješka br. 2</w:t>
      </w:r>
      <w:r w:rsidR="00C570C4" w:rsidRPr="00C570C4">
        <w:rPr>
          <w:lang w:val="hr-HR"/>
        </w:rPr>
        <w:t>.</w:t>
      </w:r>
    </w:p>
    <w:p w14:paraId="3ED2FB7D" w14:textId="77777777" w:rsidR="00C570C4" w:rsidRPr="00C570C4" w:rsidRDefault="00C570C4" w:rsidP="00C570C4">
      <w:pPr>
        <w:pStyle w:val="Naslov2"/>
        <w:rPr>
          <w:lang w:val="hr-HR"/>
        </w:rPr>
      </w:pPr>
      <w:r w:rsidRPr="00C570C4">
        <w:rPr>
          <w:lang w:val="hr-HR"/>
        </w:rPr>
        <w:t>Šifra 663</w:t>
      </w:r>
    </w:p>
    <w:p w14:paraId="01EB79B1" w14:textId="1EA0144A" w:rsidR="00C570C4" w:rsidRPr="00C570C4" w:rsidRDefault="00C570C4" w:rsidP="00C570C4">
      <w:pPr>
        <w:rPr>
          <w:rFonts w:cs="Times New Roman"/>
          <w:szCs w:val="24"/>
          <w:lang w:val="hr-HR"/>
        </w:rPr>
      </w:pPr>
      <w:r w:rsidRPr="00C570C4">
        <w:rPr>
          <w:rFonts w:cs="Times New Roman"/>
          <w:szCs w:val="24"/>
          <w:lang w:val="hr-HR"/>
        </w:rPr>
        <w:t xml:space="preserve">Iz izvora financiranja 61 Donacije, osnovni račun 66313 Tekuće donacije trgovačkih društava,  ostvareno je 4.000,00 od </w:t>
      </w:r>
      <w:proofErr w:type="spellStart"/>
      <w:r w:rsidRPr="00C570C4">
        <w:rPr>
          <w:rFonts w:cs="Times New Roman"/>
          <w:szCs w:val="24"/>
          <w:lang w:val="hr-HR"/>
        </w:rPr>
        <w:t>Autrotrans</w:t>
      </w:r>
      <w:proofErr w:type="spellEnd"/>
      <w:r w:rsidRPr="00C570C4">
        <w:rPr>
          <w:rFonts w:cs="Times New Roman"/>
          <w:szCs w:val="24"/>
          <w:lang w:val="hr-HR"/>
        </w:rPr>
        <w:t xml:space="preserve"> d.d. i 2.700,00 od Adriatic osiguranja. </w:t>
      </w:r>
    </w:p>
    <w:p w14:paraId="41A83A64" w14:textId="70B8A08E" w:rsidR="00C570C4" w:rsidRPr="00C570C4" w:rsidRDefault="004C0D3C" w:rsidP="00C570C4">
      <w:pPr>
        <w:pStyle w:val="Naslov2"/>
        <w:rPr>
          <w:lang w:val="hr-HR"/>
        </w:rPr>
      </w:pPr>
      <w:r>
        <w:rPr>
          <w:lang w:val="hr-HR"/>
        </w:rPr>
        <w:t>Bilješka br. 3</w:t>
      </w:r>
      <w:r w:rsidR="00C570C4" w:rsidRPr="00C570C4">
        <w:rPr>
          <w:lang w:val="hr-HR"/>
        </w:rPr>
        <w:t>.</w:t>
      </w:r>
    </w:p>
    <w:p w14:paraId="6DD4E5EB" w14:textId="77777777" w:rsidR="00C570C4" w:rsidRPr="00C570C4" w:rsidRDefault="00C570C4" w:rsidP="00C570C4">
      <w:pPr>
        <w:pStyle w:val="Naslov2"/>
        <w:rPr>
          <w:lang w:val="hr-HR"/>
        </w:rPr>
      </w:pPr>
      <w:r w:rsidRPr="00C570C4">
        <w:rPr>
          <w:lang w:val="hr-HR"/>
        </w:rPr>
        <w:t>Šifra 671</w:t>
      </w:r>
    </w:p>
    <w:p w14:paraId="67ADA549" w14:textId="0548F584" w:rsidR="00C570C4" w:rsidRPr="00C570C4" w:rsidRDefault="00C570C4" w:rsidP="00C570C4">
      <w:pPr>
        <w:rPr>
          <w:rFonts w:cs="Times New Roman"/>
          <w:szCs w:val="24"/>
          <w:lang w:val="hr-HR"/>
        </w:rPr>
      </w:pPr>
      <w:r w:rsidRPr="00C570C4">
        <w:rPr>
          <w:rFonts w:cs="Times New Roman"/>
          <w:szCs w:val="24"/>
          <w:lang w:val="hr-HR"/>
        </w:rPr>
        <w:t xml:space="preserve">Iz državnog proračuna ostvareno je ukupno 1.168.241,85 kuna. </w:t>
      </w:r>
    </w:p>
    <w:p w14:paraId="0BAAD2AA" w14:textId="5784714D" w:rsidR="00C570C4" w:rsidRPr="00C570C4" w:rsidRDefault="00C570C4" w:rsidP="00C570C4">
      <w:pPr>
        <w:pStyle w:val="Naslov2"/>
        <w:rPr>
          <w:lang w:val="hr-HR"/>
        </w:rPr>
      </w:pPr>
      <w:r w:rsidRPr="00C570C4">
        <w:rPr>
          <w:lang w:val="hr-HR"/>
        </w:rPr>
        <w:t xml:space="preserve">Bilješka </w:t>
      </w:r>
      <w:r w:rsidR="004C0D3C">
        <w:rPr>
          <w:lang w:val="hr-HR"/>
        </w:rPr>
        <w:t>br. 4</w:t>
      </w:r>
      <w:r w:rsidRPr="00C570C4">
        <w:rPr>
          <w:lang w:val="hr-HR"/>
        </w:rPr>
        <w:t>.</w:t>
      </w:r>
    </w:p>
    <w:p w14:paraId="336081E0" w14:textId="77777777" w:rsidR="00C570C4" w:rsidRPr="00C570C4" w:rsidRDefault="00C570C4" w:rsidP="00C570C4">
      <w:pPr>
        <w:pStyle w:val="Naslov2"/>
        <w:rPr>
          <w:lang w:val="hr-HR"/>
        </w:rPr>
      </w:pPr>
      <w:r w:rsidRPr="00C570C4">
        <w:rPr>
          <w:lang w:val="hr-HR"/>
        </w:rPr>
        <w:t>Šifra 3</w:t>
      </w:r>
    </w:p>
    <w:p w14:paraId="1863381B" w14:textId="77777777" w:rsidR="00C570C4" w:rsidRPr="00C570C4" w:rsidRDefault="00C570C4" w:rsidP="00C570C4">
      <w:pPr>
        <w:rPr>
          <w:rFonts w:cs="Times New Roman"/>
          <w:szCs w:val="24"/>
          <w:lang w:val="hr-HR"/>
        </w:rPr>
      </w:pPr>
      <w:r w:rsidRPr="00C570C4">
        <w:rPr>
          <w:rFonts w:cs="Times New Roman"/>
          <w:szCs w:val="24"/>
          <w:lang w:val="hr-HR"/>
        </w:rPr>
        <w:t>Ukupni rashodi poslovanja ostvareni su u iznosu od 10.353.816,51 kuna, što je za 11,69% više nego prethodne godine.</w:t>
      </w:r>
    </w:p>
    <w:p w14:paraId="316C3375" w14:textId="77777777" w:rsidR="00C570C4" w:rsidRPr="00C570C4" w:rsidRDefault="00C570C4" w:rsidP="00C570C4">
      <w:pPr>
        <w:rPr>
          <w:rFonts w:cs="Times New Roman"/>
          <w:szCs w:val="24"/>
          <w:lang w:val="hr-HR"/>
        </w:rPr>
      </w:pPr>
      <w:r w:rsidRPr="00C570C4">
        <w:rPr>
          <w:rFonts w:cs="Times New Roman"/>
          <w:szCs w:val="24"/>
          <w:lang w:val="hr-HR"/>
        </w:rPr>
        <w:t xml:space="preserve">U strukturi rashoda najznačajniji su rashodi za zaposlene koji su ostvareni u iznosu od 8.714.480,48 kune. </w:t>
      </w:r>
    </w:p>
    <w:p w14:paraId="1EFEEC91" w14:textId="77777777" w:rsidR="00C570C4" w:rsidRPr="00C570C4" w:rsidRDefault="00C570C4" w:rsidP="00C570C4">
      <w:pPr>
        <w:rPr>
          <w:rFonts w:cs="Times New Roman"/>
          <w:szCs w:val="24"/>
          <w:lang w:val="hr-HR"/>
        </w:rPr>
      </w:pPr>
      <w:r w:rsidRPr="00C570C4">
        <w:rPr>
          <w:rFonts w:cs="Times New Roman"/>
          <w:szCs w:val="24"/>
          <w:lang w:val="hr-HR"/>
        </w:rPr>
        <w:t>Zatim slijede materijalni rashodi u iznosu od 1.610.638,86 kune, s rastom od 41,8%.</w:t>
      </w:r>
    </w:p>
    <w:p w14:paraId="34C64115" w14:textId="77777777" w:rsidR="00C570C4" w:rsidRPr="00C570C4" w:rsidRDefault="00C570C4" w:rsidP="00C570C4">
      <w:pPr>
        <w:rPr>
          <w:rFonts w:cs="Times New Roman"/>
          <w:szCs w:val="24"/>
          <w:lang w:val="hr-HR"/>
        </w:rPr>
      </w:pPr>
      <w:r w:rsidRPr="00C570C4">
        <w:rPr>
          <w:rFonts w:cs="Times New Roman"/>
          <w:szCs w:val="24"/>
          <w:lang w:val="hr-HR"/>
        </w:rPr>
        <w:t xml:space="preserve"> U okviru šifre 322 Rashodi za materijal i energiju najznačajniji rast (213,7%) ostvaren je kod troškova za energiju pri čemu su se rashodi za plin i električnu energiju gotovu utrostručili zbog porasta cijena.</w:t>
      </w:r>
    </w:p>
    <w:p w14:paraId="34BB8444" w14:textId="77777777" w:rsidR="00C570C4" w:rsidRPr="00C570C4" w:rsidRDefault="00C570C4" w:rsidP="00C570C4">
      <w:pPr>
        <w:rPr>
          <w:rFonts w:cs="Times New Roman"/>
          <w:szCs w:val="24"/>
          <w:lang w:val="hr-HR"/>
        </w:rPr>
      </w:pPr>
      <w:r w:rsidRPr="00C570C4">
        <w:rPr>
          <w:rFonts w:cs="Times New Roman"/>
          <w:szCs w:val="24"/>
          <w:lang w:val="hr-HR"/>
        </w:rPr>
        <w:lastRenderedPageBreak/>
        <w:t>Nakon prestanka mjera vezanih uz bolest COVID-19 nastavilo se s natjecanjima učenika čiji prijevoz na natjecanja se evidentira na osnovnom računu 32319 Ostale usluge za komunikaciju i prijevoz. Posljedično došlo je do porasta usluga telefona, pošte i prijevoza iskazanih na šifri 3231 u odnosu na 2021.</w:t>
      </w:r>
    </w:p>
    <w:p w14:paraId="18CE030A" w14:textId="514082CC" w:rsidR="00C570C4" w:rsidRPr="00C570C4" w:rsidRDefault="004C0D3C" w:rsidP="00C570C4">
      <w:pPr>
        <w:pStyle w:val="Naslov2"/>
        <w:rPr>
          <w:lang w:val="hr-HR"/>
        </w:rPr>
      </w:pPr>
      <w:r>
        <w:rPr>
          <w:lang w:val="hr-HR"/>
        </w:rPr>
        <w:t>Bilješka br. 5</w:t>
      </w:r>
      <w:r w:rsidR="00C570C4" w:rsidRPr="00C570C4">
        <w:rPr>
          <w:lang w:val="hr-HR"/>
        </w:rPr>
        <w:t>.</w:t>
      </w:r>
    </w:p>
    <w:p w14:paraId="32576469" w14:textId="77777777" w:rsidR="00C570C4" w:rsidRPr="00C570C4" w:rsidRDefault="00C570C4" w:rsidP="00C570C4">
      <w:pPr>
        <w:pStyle w:val="Naslov2"/>
        <w:rPr>
          <w:lang w:val="hr-HR"/>
        </w:rPr>
      </w:pPr>
      <w:r w:rsidRPr="00C570C4">
        <w:rPr>
          <w:lang w:val="hr-HR"/>
        </w:rPr>
        <w:t>Šifra 4</w:t>
      </w:r>
    </w:p>
    <w:p w14:paraId="5783987B" w14:textId="2AD092E5" w:rsidR="00C570C4" w:rsidRPr="00C570C4" w:rsidRDefault="00C570C4" w:rsidP="00C570C4">
      <w:pPr>
        <w:rPr>
          <w:rFonts w:cs="Times New Roman"/>
          <w:szCs w:val="24"/>
          <w:lang w:val="hr-HR"/>
        </w:rPr>
      </w:pPr>
      <w:r w:rsidRPr="00C570C4">
        <w:rPr>
          <w:rFonts w:cs="Times New Roman"/>
          <w:szCs w:val="24"/>
          <w:lang w:val="hr-HR"/>
        </w:rPr>
        <w:t>Tijekom 2022. nabavljena je nova nefinancijska imovina u ukupnoj vrijednosti od 60.920,31 kune, što je za 5% više nego prethodne godine. Nabavljena su računala i računalna oprema u iznosu od 5.199,80 kune, oprema u iznosu od 44.183,05 kuna i knjige u iznosu od 11.537,46.</w:t>
      </w:r>
    </w:p>
    <w:p w14:paraId="6E7D8551" w14:textId="77777777" w:rsidR="00C570C4" w:rsidRPr="00C570C4" w:rsidRDefault="00C570C4" w:rsidP="00C570C4">
      <w:pPr>
        <w:pStyle w:val="Naslov1"/>
        <w:rPr>
          <w:lang w:val="hr-HR"/>
        </w:rPr>
      </w:pPr>
      <w:r w:rsidRPr="00C570C4">
        <w:rPr>
          <w:lang w:val="hr-HR"/>
        </w:rPr>
        <w:t>Bilješke uz Izvještaj o rashodima prema funkcijskoj klasifikaciji</w:t>
      </w:r>
    </w:p>
    <w:p w14:paraId="60705E13" w14:textId="77777777" w:rsidR="00C570C4" w:rsidRPr="00C570C4" w:rsidRDefault="00C570C4" w:rsidP="00C570C4">
      <w:pPr>
        <w:pStyle w:val="Naslov2"/>
        <w:rPr>
          <w:lang w:val="hr-HR"/>
        </w:rPr>
      </w:pPr>
      <w:r w:rsidRPr="00C570C4">
        <w:rPr>
          <w:lang w:val="hr-HR"/>
        </w:rPr>
        <w:t>Bilješka br. 1.</w:t>
      </w:r>
    </w:p>
    <w:p w14:paraId="51D5DD3C" w14:textId="77777777" w:rsidR="00C570C4" w:rsidRPr="00C570C4" w:rsidRDefault="00C570C4" w:rsidP="00C570C4">
      <w:pPr>
        <w:pStyle w:val="Naslov2"/>
        <w:rPr>
          <w:lang w:val="hr-HR"/>
        </w:rPr>
      </w:pPr>
      <w:r w:rsidRPr="00C570C4">
        <w:rPr>
          <w:lang w:val="hr-HR"/>
        </w:rPr>
        <w:t>Šifra R1</w:t>
      </w:r>
    </w:p>
    <w:p w14:paraId="14953AF0" w14:textId="77777777" w:rsidR="00C570C4" w:rsidRPr="00C570C4" w:rsidRDefault="00C570C4" w:rsidP="00C570C4">
      <w:pPr>
        <w:rPr>
          <w:rFonts w:cs="Times New Roman"/>
          <w:szCs w:val="24"/>
          <w:lang w:val="hr-HR"/>
        </w:rPr>
      </w:pPr>
      <w:r w:rsidRPr="00C570C4">
        <w:rPr>
          <w:rFonts w:cs="Times New Roman"/>
          <w:szCs w:val="24"/>
          <w:lang w:val="hr-HR"/>
        </w:rPr>
        <w:t xml:space="preserve">Brojčane oznake i nazivi funkcijske klasifikacije preuzeti su iz međunarodne klasifikacije funkcija države (COFOG) Ujedinjenih naroda. </w:t>
      </w:r>
    </w:p>
    <w:p w14:paraId="532BB37A" w14:textId="2EA27E35" w:rsidR="00C570C4" w:rsidRPr="00C570C4" w:rsidRDefault="00C570C4" w:rsidP="00C570C4">
      <w:pPr>
        <w:rPr>
          <w:rFonts w:cs="Times New Roman"/>
          <w:szCs w:val="24"/>
          <w:lang w:val="hr-HR"/>
        </w:rPr>
      </w:pPr>
      <w:r w:rsidRPr="00C570C4">
        <w:rPr>
          <w:rFonts w:cs="Times New Roman"/>
          <w:szCs w:val="24"/>
          <w:lang w:val="hr-HR"/>
        </w:rPr>
        <w:t>Funkcijski se, u skladu s namjenom, klasificiraju rashodi poslovanja (razred 3) i rashodi za nabavu nefinancijske imovine (razred 4), dok se izdaci za financijsku imovinu (razred 5) ne razvrstavaju funkcijski, a time niti ne uključuju u ovaj Izvještaj. Zbroj rashoda po svim funkcijama iskazan na šifri R1 Obrasca: RAS-funkcijski mora biti jednak iznosu iskazanom na šifri Y034 Ukupni rashodi Obrasca: PR-RAS.</w:t>
      </w:r>
    </w:p>
    <w:p w14:paraId="4E912DF4" w14:textId="77777777" w:rsidR="00C570C4" w:rsidRPr="00C570C4" w:rsidRDefault="00C570C4" w:rsidP="00C570C4">
      <w:pPr>
        <w:pStyle w:val="Naslov1"/>
        <w:rPr>
          <w:lang w:val="hr-HR"/>
        </w:rPr>
      </w:pPr>
      <w:r w:rsidRPr="00C570C4">
        <w:rPr>
          <w:lang w:val="hr-HR"/>
        </w:rPr>
        <w:t>Bilješke uz Izvještaj o promjenama u vrijednosti i obujmu imovine i obveza</w:t>
      </w:r>
    </w:p>
    <w:p w14:paraId="329CD34A" w14:textId="77777777" w:rsidR="00C570C4" w:rsidRPr="00C570C4" w:rsidRDefault="00C570C4" w:rsidP="00C570C4">
      <w:pPr>
        <w:pStyle w:val="Naslov2"/>
        <w:rPr>
          <w:lang w:val="hr-HR"/>
        </w:rPr>
      </w:pPr>
      <w:r w:rsidRPr="00C570C4">
        <w:rPr>
          <w:lang w:val="hr-HR"/>
        </w:rPr>
        <w:t>Bilješka br. 1.</w:t>
      </w:r>
    </w:p>
    <w:p w14:paraId="45629C11" w14:textId="77777777" w:rsidR="00C570C4" w:rsidRPr="00C570C4" w:rsidRDefault="00C570C4" w:rsidP="00C570C4">
      <w:pPr>
        <w:rPr>
          <w:rFonts w:cs="Times New Roman"/>
          <w:szCs w:val="24"/>
          <w:lang w:val="hr-HR"/>
        </w:rPr>
      </w:pPr>
      <w:r w:rsidRPr="00C570C4">
        <w:rPr>
          <w:rFonts w:cs="Times New Roman"/>
          <w:szCs w:val="24"/>
          <w:lang w:val="hr-HR"/>
        </w:rPr>
        <w:t xml:space="preserve">Tijekom 2022. Virovitičko-podravska županija prenijela je Školi ulaganje u školsku zgradu u vrijednosti 507.404,86 kuna što je evidentirano preko računa 91511 Promjene u vrijednosti imovine pod šifrom P003 Proizvedena dugotrajna imovina (promjene u vrijednosti). </w:t>
      </w:r>
    </w:p>
    <w:p w14:paraId="3067E60D" w14:textId="51C6EC00" w:rsidR="00C570C4" w:rsidRPr="00C570C4" w:rsidRDefault="00C570C4" w:rsidP="00C570C4">
      <w:pPr>
        <w:rPr>
          <w:rFonts w:cs="Times New Roman"/>
          <w:szCs w:val="24"/>
          <w:lang w:val="hr-HR"/>
        </w:rPr>
      </w:pPr>
      <w:r w:rsidRPr="00C570C4">
        <w:rPr>
          <w:rFonts w:cs="Times New Roman"/>
          <w:szCs w:val="24"/>
          <w:lang w:val="hr-HR"/>
        </w:rPr>
        <w:t xml:space="preserve">Pod šifrom P018 Proizvedena dugotrajna imovina (promjene u obujmu) evidentirano je povećanje u iznosu od </w:t>
      </w:r>
      <w:r w:rsidR="006000EA">
        <w:rPr>
          <w:rFonts w:cs="Times New Roman"/>
          <w:szCs w:val="24"/>
          <w:lang w:val="hr-HR"/>
        </w:rPr>
        <w:t>6688,00</w:t>
      </w:r>
      <w:bookmarkStart w:id="0" w:name="_GoBack"/>
      <w:bookmarkEnd w:id="0"/>
      <w:r w:rsidRPr="00C570C4">
        <w:rPr>
          <w:rFonts w:cs="Times New Roman"/>
          <w:szCs w:val="24"/>
          <w:lang w:val="hr-HR"/>
        </w:rPr>
        <w:t xml:space="preserve"> kuna. Povećanje se odnosi na rashodovanje i donacije knjiga.</w:t>
      </w:r>
    </w:p>
    <w:p w14:paraId="1CF14702" w14:textId="77777777" w:rsidR="00C570C4" w:rsidRPr="00C570C4" w:rsidRDefault="00C570C4" w:rsidP="00C570C4">
      <w:pPr>
        <w:pStyle w:val="Naslov1"/>
        <w:rPr>
          <w:lang w:val="hr-HR"/>
        </w:rPr>
      </w:pPr>
      <w:r w:rsidRPr="00C570C4">
        <w:rPr>
          <w:lang w:val="hr-HR"/>
        </w:rPr>
        <w:t>Bilješke uz Izvještaj o obvezama</w:t>
      </w:r>
    </w:p>
    <w:p w14:paraId="6F3DD9BC" w14:textId="77777777" w:rsidR="00C570C4" w:rsidRPr="00C570C4" w:rsidRDefault="00C570C4" w:rsidP="00C570C4">
      <w:pPr>
        <w:pStyle w:val="Naslov2"/>
        <w:rPr>
          <w:lang w:val="hr-HR"/>
        </w:rPr>
      </w:pPr>
      <w:r w:rsidRPr="00C570C4">
        <w:rPr>
          <w:lang w:val="hr-HR"/>
        </w:rPr>
        <w:t>Bilješka br. 1.</w:t>
      </w:r>
    </w:p>
    <w:p w14:paraId="32D70279" w14:textId="77777777" w:rsidR="00C570C4" w:rsidRPr="00C570C4" w:rsidRDefault="00C570C4" w:rsidP="00C570C4">
      <w:pPr>
        <w:pStyle w:val="Naslov2"/>
        <w:rPr>
          <w:lang w:val="hr-HR"/>
        </w:rPr>
      </w:pPr>
      <w:r w:rsidRPr="00C570C4">
        <w:rPr>
          <w:lang w:val="hr-HR"/>
        </w:rPr>
        <w:t>Šifra V001</w:t>
      </w:r>
    </w:p>
    <w:p w14:paraId="34D39AF4" w14:textId="7F59AF2E" w:rsidR="00C570C4" w:rsidRPr="00C570C4" w:rsidRDefault="00C570C4" w:rsidP="00C570C4">
      <w:pPr>
        <w:rPr>
          <w:rFonts w:cs="Times New Roman"/>
          <w:szCs w:val="24"/>
          <w:lang w:val="hr-HR"/>
        </w:rPr>
      </w:pPr>
      <w:r w:rsidRPr="00C570C4">
        <w:rPr>
          <w:rFonts w:cs="Times New Roman"/>
          <w:szCs w:val="24"/>
          <w:lang w:val="hr-HR"/>
        </w:rPr>
        <w:t>Nepodmirene obveze iz 2021. godine prenesene u 2022. iznose 53.293,08 kuna i odgovaraju stanju obveza iskazanih na AOP-u 038 Izvještaja Obveze za 2021.</w:t>
      </w:r>
    </w:p>
    <w:p w14:paraId="34EC55E3" w14:textId="77777777" w:rsidR="00C570C4" w:rsidRPr="00C570C4" w:rsidRDefault="00C570C4" w:rsidP="00C570C4">
      <w:pPr>
        <w:pStyle w:val="Naslov2"/>
        <w:rPr>
          <w:lang w:val="hr-HR"/>
        </w:rPr>
      </w:pPr>
      <w:r w:rsidRPr="00C570C4">
        <w:rPr>
          <w:lang w:val="hr-HR"/>
        </w:rPr>
        <w:lastRenderedPageBreak/>
        <w:t>Bilješka br. 2.</w:t>
      </w:r>
    </w:p>
    <w:p w14:paraId="69A7B7BC" w14:textId="77777777" w:rsidR="00C570C4" w:rsidRPr="00C570C4" w:rsidRDefault="00C570C4" w:rsidP="00C570C4">
      <w:pPr>
        <w:pStyle w:val="Naslov2"/>
        <w:rPr>
          <w:lang w:val="hr-HR"/>
        </w:rPr>
      </w:pPr>
      <w:r w:rsidRPr="00C570C4">
        <w:rPr>
          <w:lang w:val="hr-HR"/>
        </w:rPr>
        <w:t>Šifra V009</w:t>
      </w:r>
    </w:p>
    <w:p w14:paraId="62409211" w14:textId="77777777" w:rsidR="00C570C4" w:rsidRPr="00C570C4" w:rsidRDefault="00C570C4" w:rsidP="00C570C4">
      <w:pPr>
        <w:rPr>
          <w:rFonts w:cs="Times New Roman"/>
          <w:szCs w:val="24"/>
          <w:lang w:val="hr-HR"/>
        </w:rPr>
      </w:pPr>
      <w:r w:rsidRPr="00C570C4">
        <w:rPr>
          <w:rFonts w:cs="Times New Roman"/>
          <w:szCs w:val="24"/>
          <w:lang w:val="hr-HR"/>
        </w:rPr>
        <w:t>Na kraju 2022. ostalo je nepodmirenih obveza u iznosu od 1.001.935,32 kuna. Sve obveze su nedospjele, a odnose se na:</w:t>
      </w:r>
    </w:p>
    <w:p w14:paraId="62309028" w14:textId="734FAFA0"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obveze za rashode poslovanja u iznosu od 968.203,26</w:t>
      </w:r>
    </w:p>
    <w:p w14:paraId="7C1743A4" w14:textId="24C79565"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obveze proračunskih korisnika za povrat u proračun u visini potraživanja od HZZO-a za isplaćenu naknadu za bolovanje u iznosu od 33.732,06 kuna.</w:t>
      </w:r>
    </w:p>
    <w:p w14:paraId="238AE71C" w14:textId="77777777" w:rsidR="00C570C4" w:rsidRPr="00C570C4" w:rsidRDefault="00C570C4" w:rsidP="00C570C4">
      <w:pPr>
        <w:rPr>
          <w:rFonts w:cs="Times New Roman"/>
          <w:szCs w:val="24"/>
          <w:lang w:val="hr-HR"/>
        </w:rPr>
      </w:pPr>
      <w:r w:rsidRPr="00C570C4">
        <w:rPr>
          <w:rFonts w:cs="Times New Roman"/>
          <w:szCs w:val="24"/>
          <w:lang w:val="hr-HR"/>
        </w:rPr>
        <w:t>Sukladno članku 13. stavku 2. Pravilnika o financijskom izvještavanju u proračunskom računovodstvu obveze stvorene između subjekata objavljenih u RKP-u koje se u evidencijama korisnika vode na računima obveza za rashode poslovanja, nabavu nefinancijske imovine, za financijsku imovinu, za potrebe Izvještaja o obvezama ne razdvajaju se prema navedenim vrstama nego se stavljaju u zajedničku kategoriju međusobne obveze proračunskih korisnika (međuproračunske obveze):</w:t>
      </w:r>
    </w:p>
    <w:p w14:paraId="22D0F2D1" w14:textId="52B0E5CF"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obveze po osnovi fakturiranja između korisnika u sustavu proračuna,</w:t>
      </w:r>
    </w:p>
    <w:p w14:paraId="45000701" w14:textId="10978986"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obveze za povrat sredstava na ime bolovanja koje refundira HZZO odnosno po konačnom obračunu poreza na dohodak, što refundira Porezna uprava (ako je naknada isplaćena iz sredstava nadležnog proračuna),</w:t>
      </w:r>
    </w:p>
    <w:p w14:paraId="2D198B5B" w14:textId="2499A3C9"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obveze nadležnog proračuna za nepotrošene vlastite prihode i namjenske prihode i primitke proračunskih korisnika uplaćene u proračun,</w:t>
      </w:r>
    </w:p>
    <w:p w14:paraId="4803DB4E" w14:textId="34A7D5AC" w:rsidR="00C570C4" w:rsidRPr="00C570C4" w:rsidRDefault="00C570C4" w:rsidP="00C570C4">
      <w:pPr>
        <w:pStyle w:val="Odlomakpopisa"/>
        <w:numPr>
          <w:ilvl w:val="0"/>
          <w:numId w:val="1"/>
        </w:numPr>
        <w:rPr>
          <w:rFonts w:cs="Times New Roman"/>
          <w:szCs w:val="24"/>
          <w:lang w:val="hr-HR"/>
        </w:rPr>
      </w:pPr>
      <w:r w:rsidRPr="00C570C4">
        <w:rPr>
          <w:rFonts w:cs="Times New Roman"/>
          <w:szCs w:val="24"/>
          <w:lang w:val="hr-HR"/>
        </w:rPr>
        <w:t>obveza prema državnom proračunu temeljem Zakona o prodaji stanova na kojima postoji stanarsko pravo (55%, 65%).</w:t>
      </w:r>
    </w:p>
    <w:p w14:paraId="5701107B" w14:textId="77777777" w:rsidR="00C570C4" w:rsidRPr="00C570C4" w:rsidRDefault="00C570C4" w:rsidP="00C570C4">
      <w:pPr>
        <w:rPr>
          <w:rFonts w:cs="Times New Roman"/>
          <w:szCs w:val="24"/>
          <w:lang w:val="hr-HR"/>
        </w:rPr>
      </w:pPr>
    </w:p>
    <w:p w14:paraId="5EE23405" w14:textId="5AFF8A5D" w:rsidR="00C570C4" w:rsidRDefault="00C570C4" w:rsidP="00C570C4">
      <w:pPr>
        <w:rPr>
          <w:rFonts w:cs="Times New Roman"/>
          <w:szCs w:val="24"/>
          <w:lang w:val="hr-HR"/>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7"/>
      </w:tblGrid>
      <w:tr w:rsidR="00C570C4" w14:paraId="4B663177" w14:textId="77777777" w:rsidTr="00C570C4">
        <w:trPr>
          <w:jc w:val="center"/>
        </w:trPr>
        <w:tc>
          <w:tcPr>
            <w:tcW w:w="5103" w:type="dxa"/>
          </w:tcPr>
          <w:p w14:paraId="187642E8" w14:textId="77777777" w:rsidR="00C570C4" w:rsidRDefault="00C570C4" w:rsidP="00C570C4">
            <w:pPr>
              <w:rPr>
                <w:rFonts w:cs="Times New Roman"/>
                <w:szCs w:val="24"/>
                <w:lang w:val="hr-HR"/>
              </w:rPr>
            </w:pPr>
          </w:p>
        </w:tc>
        <w:tc>
          <w:tcPr>
            <w:tcW w:w="4247" w:type="dxa"/>
          </w:tcPr>
          <w:p w14:paraId="643DE150" w14:textId="77777777" w:rsidR="00C570C4" w:rsidRPr="00C570C4" w:rsidRDefault="00C570C4" w:rsidP="00C570C4">
            <w:pPr>
              <w:jc w:val="center"/>
              <w:rPr>
                <w:rFonts w:cs="Times New Roman"/>
                <w:szCs w:val="24"/>
                <w:lang w:val="hr-HR"/>
              </w:rPr>
            </w:pPr>
          </w:p>
          <w:p w14:paraId="34F9AA9B" w14:textId="77777777" w:rsidR="00C570C4" w:rsidRPr="00BF7470" w:rsidRDefault="00C570C4" w:rsidP="00C570C4">
            <w:pPr>
              <w:jc w:val="center"/>
              <w:rPr>
                <w:rFonts w:cs="Times New Roman"/>
                <w:b/>
                <w:bCs/>
                <w:szCs w:val="24"/>
                <w:lang w:val="hr-HR"/>
              </w:rPr>
            </w:pPr>
            <w:r w:rsidRPr="00BF7470">
              <w:rPr>
                <w:rFonts w:cs="Times New Roman"/>
                <w:b/>
                <w:bCs/>
                <w:szCs w:val="24"/>
                <w:lang w:val="hr-HR"/>
              </w:rPr>
              <w:t>RAVNATELJ</w:t>
            </w:r>
          </w:p>
          <w:p w14:paraId="6912CF67" w14:textId="2CC18EF3" w:rsidR="00C570C4" w:rsidRDefault="00C570C4" w:rsidP="00C570C4">
            <w:pPr>
              <w:jc w:val="center"/>
              <w:rPr>
                <w:rFonts w:cs="Times New Roman"/>
                <w:szCs w:val="24"/>
                <w:lang w:val="hr-HR"/>
              </w:rPr>
            </w:pPr>
          </w:p>
          <w:p w14:paraId="1895DE2A" w14:textId="77777777" w:rsidR="00BF7470" w:rsidRDefault="00BF7470" w:rsidP="00C570C4">
            <w:pPr>
              <w:jc w:val="center"/>
              <w:rPr>
                <w:rFonts w:cs="Times New Roman"/>
                <w:szCs w:val="24"/>
                <w:lang w:val="hr-HR"/>
              </w:rPr>
            </w:pPr>
          </w:p>
          <w:p w14:paraId="01496FD6" w14:textId="77777777" w:rsidR="00C570C4" w:rsidRPr="00C570C4" w:rsidRDefault="00C570C4" w:rsidP="00C570C4">
            <w:pPr>
              <w:pBdr>
                <w:bottom w:val="single" w:sz="12" w:space="1" w:color="auto"/>
              </w:pBdr>
              <w:jc w:val="center"/>
              <w:rPr>
                <w:rFonts w:cs="Times New Roman"/>
                <w:szCs w:val="24"/>
                <w:lang w:val="hr-HR"/>
              </w:rPr>
            </w:pPr>
          </w:p>
          <w:p w14:paraId="0BF1841E" w14:textId="62E3E9E0" w:rsidR="001A5000" w:rsidRDefault="001A5000" w:rsidP="00C570C4">
            <w:pPr>
              <w:jc w:val="center"/>
              <w:rPr>
                <w:rFonts w:cs="Times New Roman"/>
                <w:szCs w:val="24"/>
                <w:lang w:val="hr-HR"/>
              </w:rPr>
            </w:pPr>
          </w:p>
        </w:tc>
      </w:tr>
    </w:tbl>
    <w:p w14:paraId="1F3B146D" w14:textId="7D51848C" w:rsidR="00E01389" w:rsidRPr="00C570C4" w:rsidRDefault="00E01389" w:rsidP="00C570C4">
      <w:pPr>
        <w:rPr>
          <w:rFonts w:cs="Times New Roman"/>
          <w:lang w:val="hr-HR"/>
        </w:rPr>
      </w:pPr>
    </w:p>
    <w:sectPr w:rsidR="00E01389" w:rsidRPr="00C57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06361"/>
    <w:multiLevelType w:val="hybridMultilevel"/>
    <w:tmpl w:val="D4EA9DA8"/>
    <w:lvl w:ilvl="0" w:tplc="7488E8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3C"/>
    <w:rsid w:val="001A5000"/>
    <w:rsid w:val="002563B9"/>
    <w:rsid w:val="003216E3"/>
    <w:rsid w:val="003A03A4"/>
    <w:rsid w:val="00405D3D"/>
    <w:rsid w:val="004C0D3C"/>
    <w:rsid w:val="006000EA"/>
    <w:rsid w:val="006132F4"/>
    <w:rsid w:val="008A573C"/>
    <w:rsid w:val="008B08E3"/>
    <w:rsid w:val="00A43B25"/>
    <w:rsid w:val="00BF7470"/>
    <w:rsid w:val="00C570C4"/>
    <w:rsid w:val="00C80982"/>
    <w:rsid w:val="00E0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AF67"/>
  <w15:chartTrackingRefBased/>
  <w15:docId w15:val="{FD6184C0-ABFA-4294-BE91-0E990ECB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0C4"/>
    <w:pPr>
      <w:jc w:val="both"/>
    </w:pPr>
    <w:rPr>
      <w:rFonts w:ascii="Times New Roman" w:hAnsi="Times New Roman"/>
      <w:sz w:val="24"/>
    </w:rPr>
  </w:style>
  <w:style w:type="paragraph" w:styleId="Naslov1">
    <w:name w:val="heading 1"/>
    <w:basedOn w:val="Normal"/>
    <w:next w:val="Normal"/>
    <w:link w:val="Naslov1Char"/>
    <w:uiPriority w:val="9"/>
    <w:qFormat/>
    <w:rsid w:val="00C570C4"/>
    <w:pPr>
      <w:keepNext/>
      <w:keepLines/>
      <w:spacing w:before="240" w:after="0"/>
      <w:jc w:val="center"/>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rsid w:val="00C570C4"/>
    <w:pPr>
      <w:keepNext/>
      <w:keepLines/>
      <w:spacing w:before="40" w:after="120"/>
      <w:jc w:val="center"/>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70C4"/>
    <w:rPr>
      <w:rFonts w:ascii="Times New Roman" w:eastAsiaTheme="majorEastAsia" w:hAnsi="Times New Roman" w:cstheme="majorBidi"/>
      <w:b/>
      <w:sz w:val="28"/>
      <w:szCs w:val="32"/>
    </w:rPr>
  </w:style>
  <w:style w:type="character" w:customStyle="1" w:styleId="Naslov2Char">
    <w:name w:val="Naslov 2 Char"/>
    <w:basedOn w:val="Zadanifontodlomka"/>
    <w:link w:val="Naslov2"/>
    <w:uiPriority w:val="9"/>
    <w:rsid w:val="00C570C4"/>
    <w:rPr>
      <w:rFonts w:ascii="Times New Roman" w:eastAsiaTheme="majorEastAsia" w:hAnsi="Times New Roman" w:cstheme="majorBidi"/>
      <w:b/>
      <w:sz w:val="24"/>
      <w:szCs w:val="26"/>
    </w:rPr>
  </w:style>
  <w:style w:type="paragraph" w:styleId="Odlomakpopisa">
    <w:name w:val="List Paragraph"/>
    <w:basedOn w:val="Normal"/>
    <w:uiPriority w:val="34"/>
    <w:qFormat/>
    <w:rsid w:val="00C570C4"/>
    <w:pPr>
      <w:ind w:left="720"/>
      <w:contextualSpacing/>
    </w:pPr>
  </w:style>
  <w:style w:type="table" w:styleId="Reetkatablice">
    <w:name w:val="Table Grid"/>
    <w:basedOn w:val="Obinatablica"/>
    <w:uiPriority w:val="39"/>
    <w:rsid w:val="00C5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C0D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C0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9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1672</Words>
  <Characters>9536</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Korisnik</cp:lastModifiedBy>
  <cp:revision>9</cp:revision>
  <cp:lastPrinted>2023-01-30T11:31:00Z</cp:lastPrinted>
  <dcterms:created xsi:type="dcterms:W3CDTF">2023-01-30T10:11:00Z</dcterms:created>
  <dcterms:modified xsi:type="dcterms:W3CDTF">2023-01-31T10:53:00Z</dcterms:modified>
</cp:coreProperties>
</file>